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sz w:val="28"/>
          <w:highlight w:val="none"/>
        </w:rPr>
      </w:pPr>
    </w:p>
    <w:p>
      <w:pPr>
        <w:adjustRightInd w:val="0"/>
        <w:snapToGrid w:val="0"/>
        <w:spacing w:line="360" w:lineRule="auto"/>
        <w:jc w:val="right"/>
        <w:rPr>
          <w:rFonts w:hint="eastAsia" w:ascii="宋体" w:hAnsi="宋体" w:eastAsia="宋体"/>
          <w:sz w:val="28"/>
          <w:highlight w:val="none"/>
          <w:lang w:eastAsia="zh-CN"/>
        </w:rPr>
      </w:pPr>
      <w:r>
        <w:rPr>
          <w:rFonts w:hint="eastAsia" w:ascii="宋体" w:hAnsi="宋体"/>
          <w:sz w:val="28"/>
          <w:highlight w:val="none"/>
        </w:rPr>
        <w:t>项目编号：</w:t>
      </w:r>
      <w:r>
        <w:rPr>
          <w:rFonts w:hint="eastAsia" w:ascii="宋体" w:hAnsi="宋体"/>
          <w:sz w:val="28"/>
          <w:highlight w:val="none"/>
          <w:lang w:eastAsia="zh-CN"/>
        </w:rPr>
        <w:t>SQ23-0682</w:t>
      </w:r>
    </w:p>
    <w:p>
      <w:pPr>
        <w:adjustRightInd w:val="0"/>
        <w:snapToGrid w:val="0"/>
        <w:spacing w:line="360" w:lineRule="auto"/>
        <w:jc w:val="center"/>
        <w:rPr>
          <w:rFonts w:ascii="宋体" w:hAnsi="宋体"/>
          <w:b/>
          <w:spacing w:val="28"/>
          <w:sz w:val="40"/>
          <w:szCs w:val="52"/>
          <w:highlight w:val="none"/>
        </w:rPr>
      </w:pPr>
    </w:p>
    <w:p>
      <w:pPr>
        <w:adjustRightInd w:val="0"/>
        <w:snapToGrid w:val="0"/>
        <w:spacing w:line="360" w:lineRule="auto"/>
        <w:jc w:val="center"/>
        <w:rPr>
          <w:rFonts w:hint="eastAsia" w:ascii="宋体" w:hAnsi="宋体" w:eastAsia="宋体"/>
          <w:b/>
          <w:spacing w:val="-11"/>
          <w:sz w:val="48"/>
          <w:szCs w:val="40"/>
          <w:highlight w:val="none"/>
          <w:lang w:eastAsia="zh-CN"/>
        </w:rPr>
      </w:pPr>
      <w:r>
        <w:rPr>
          <w:rFonts w:hint="eastAsia" w:ascii="宋体" w:hAnsi="宋体"/>
          <w:b/>
          <w:spacing w:val="-11"/>
          <w:sz w:val="48"/>
          <w:szCs w:val="40"/>
          <w:highlight w:val="none"/>
          <w:lang w:eastAsia="zh-CN"/>
        </w:rPr>
        <w:t>2023年城市网格化综合管理信息系统</w:t>
      </w:r>
      <w:r>
        <w:rPr>
          <w:rFonts w:hint="eastAsia" w:ascii="宋体" w:hAnsi="宋体"/>
          <w:b/>
          <w:spacing w:val="-11"/>
          <w:sz w:val="48"/>
          <w:szCs w:val="40"/>
          <w:highlight w:val="none"/>
          <w:lang w:val="en-US" w:eastAsia="zh-CN"/>
        </w:rPr>
        <w:t>分</w:t>
      </w:r>
      <w:r>
        <w:rPr>
          <w:rFonts w:hint="eastAsia" w:ascii="宋体" w:hAnsi="宋体"/>
          <w:b/>
          <w:spacing w:val="-11"/>
          <w:sz w:val="48"/>
          <w:szCs w:val="40"/>
          <w:highlight w:val="none"/>
          <w:lang w:eastAsia="zh-CN"/>
        </w:rPr>
        <w:t>平台维护</w:t>
      </w:r>
    </w:p>
    <w:p>
      <w:pPr>
        <w:adjustRightInd w:val="0"/>
        <w:snapToGrid w:val="0"/>
        <w:spacing w:line="360" w:lineRule="auto"/>
        <w:jc w:val="center"/>
        <w:rPr>
          <w:rFonts w:ascii="宋体" w:hAnsi="宋体"/>
          <w:b/>
          <w:spacing w:val="28"/>
          <w:sz w:val="36"/>
          <w:szCs w:val="36"/>
          <w:highlight w:val="none"/>
        </w:rPr>
      </w:pPr>
    </w:p>
    <w:p>
      <w:pPr>
        <w:adjustRightInd w:val="0"/>
        <w:snapToGrid w:val="0"/>
        <w:spacing w:line="360" w:lineRule="auto"/>
        <w:jc w:val="center"/>
        <w:rPr>
          <w:rFonts w:ascii="宋体" w:hAnsi="宋体"/>
          <w:b/>
          <w:spacing w:val="28"/>
          <w:sz w:val="84"/>
          <w:highlight w:val="none"/>
        </w:rPr>
      </w:pPr>
      <w:r>
        <w:rPr>
          <w:rFonts w:hint="eastAsia" w:ascii="宋体" w:hAnsi="宋体"/>
          <w:b/>
          <w:spacing w:val="28"/>
          <w:sz w:val="84"/>
          <w:highlight w:val="none"/>
        </w:rPr>
        <w:t>磋</w:t>
      </w:r>
    </w:p>
    <w:p>
      <w:pPr>
        <w:adjustRightInd w:val="0"/>
        <w:snapToGrid w:val="0"/>
        <w:spacing w:line="360" w:lineRule="auto"/>
        <w:jc w:val="center"/>
        <w:rPr>
          <w:rFonts w:ascii="宋体" w:hAnsi="宋体"/>
          <w:b/>
          <w:spacing w:val="28"/>
          <w:sz w:val="84"/>
          <w:highlight w:val="none"/>
        </w:rPr>
      </w:pPr>
      <w:r>
        <w:rPr>
          <w:rFonts w:hint="eastAsia" w:ascii="宋体" w:hAnsi="宋体"/>
          <w:b/>
          <w:spacing w:val="28"/>
          <w:sz w:val="84"/>
          <w:highlight w:val="none"/>
        </w:rPr>
        <w:t>商</w:t>
      </w:r>
    </w:p>
    <w:p>
      <w:pPr>
        <w:adjustRightInd w:val="0"/>
        <w:snapToGrid w:val="0"/>
        <w:spacing w:line="360" w:lineRule="auto"/>
        <w:jc w:val="center"/>
        <w:rPr>
          <w:rFonts w:ascii="宋体" w:hAnsi="宋体"/>
          <w:b/>
          <w:spacing w:val="28"/>
          <w:sz w:val="84"/>
          <w:highlight w:val="none"/>
        </w:rPr>
      </w:pPr>
      <w:r>
        <w:rPr>
          <w:rFonts w:hint="eastAsia" w:ascii="宋体" w:hAnsi="宋体"/>
          <w:b/>
          <w:spacing w:val="28"/>
          <w:sz w:val="84"/>
          <w:highlight w:val="none"/>
        </w:rPr>
        <w:t>文</w:t>
      </w:r>
    </w:p>
    <w:p>
      <w:pPr>
        <w:adjustRightInd w:val="0"/>
        <w:snapToGrid w:val="0"/>
        <w:spacing w:line="360" w:lineRule="auto"/>
        <w:jc w:val="center"/>
        <w:rPr>
          <w:rFonts w:ascii="宋体" w:hAnsi="宋体"/>
          <w:b/>
          <w:spacing w:val="28"/>
          <w:sz w:val="84"/>
          <w:highlight w:val="none"/>
        </w:rPr>
      </w:pPr>
      <w:r>
        <w:rPr>
          <w:rFonts w:hint="eastAsia" w:ascii="宋体" w:hAnsi="宋体"/>
          <w:b/>
          <w:spacing w:val="28"/>
          <w:sz w:val="84"/>
          <w:highlight w:val="none"/>
        </w:rPr>
        <w:t>件</w:t>
      </w:r>
    </w:p>
    <w:p>
      <w:pPr>
        <w:adjustRightInd w:val="0"/>
        <w:snapToGrid w:val="0"/>
        <w:spacing w:line="360" w:lineRule="auto"/>
        <w:jc w:val="left"/>
        <w:rPr>
          <w:rFonts w:ascii="宋体" w:hAnsi="宋体"/>
          <w:b/>
          <w:spacing w:val="28"/>
          <w:sz w:val="32"/>
          <w:highlight w:val="none"/>
        </w:rPr>
      </w:pPr>
    </w:p>
    <w:p>
      <w:pPr>
        <w:adjustRightInd w:val="0"/>
        <w:snapToGrid w:val="0"/>
        <w:spacing w:line="360" w:lineRule="auto"/>
        <w:jc w:val="center"/>
        <w:rPr>
          <w:rFonts w:hint="eastAsia" w:ascii="宋体" w:hAnsi="宋体" w:eastAsia="宋体"/>
          <w:b/>
          <w:color w:val="auto"/>
          <w:spacing w:val="28"/>
          <w:sz w:val="32"/>
          <w:highlight w:val="none"/>
          <w:lang w:eastAsia="zh-CN"/>
        </w:rPr>
      </w:pPr>
      <w:r>
        <w:rPr>
          <w:rFonts w:hint="eastAsia" w:ascii="宋体" w:hAnsi="宋体"/>
          <w:b/>
          <w:color w:val="auto"/>
          <w:spacing w:val="28"/>
          <w:sz w:val="32"/>
          <w:highlight w:val="none"/>
        </w:rPr>
        <w:t>采购人：</w:t>
      </w:r>
      <w:r>
        <w:rPr>
          <w:rFonts w:hint="eastAsia" w:ascii="宋体" w:hAnsi="宋体"/>
          <w:b/>
          <w:color w:val="auto"/>
          <w:spacing w:val="28"/>
          <w:sz w:val="32"/>
          <w:highlight w:val="none"/>
          <w:lang w:eastAsia="zh-CN"/>
        </w:rPr>
        <w:t>上海市宝山区城市运行管理中心</w:t>
      </w:r>
    </w:p>
    <w:p>
      <w:pPr>
        <w:adjustRightInd w:val="0"/>
        <w:snapToGrid w:val="0"/>
        <w:spacing w:line="360" w:lineRule="auto"/>
        <w:jc w:val="center"/>
        <w:rPr>
          <w:rFonts w:ascii="宋体" w:hAnsi="宋体"/>
          <w:b/>
          <w:spacing w:val="28"/>
          <w:sz w:val="32"/>
          <w:highlight w:val="none"/>
        </w:rPr>
      </w:pPr>
      <w:r>
        <w:rPr>
          <w:rFonts w:hint="eastAsia" w:ascii="宋体" w:hAnsi="宋体"/>
          <w:b/>
          <w:spacing w:val="28"/>
          <w:sz w:val="32"/>
          <w:highlight w:val="none"/>
        </w:rPr>
        <w:t>采购代理机构</w:t>
      </w:r>
      <w:r>
        <w:rPr>
          <w:rFonts w:ascii="宋体" w:hAnsi="宋体"/>
          <w:b/>
          <w:spacing w:val="28"/>
          <w:sz w:val="32"/>
          <w:highlight w:val="none"/>
        </w:rPr>
        <w:t>：上海申权招标咨询有限公司</w:t>
      </w:r>
    </w:p>
    <w:p>
      <w:pPr>
        <w:adjustRightInd w:val="0"/>
        <w:snapToGrid w:val="0"/>
        <w:spacing w:line="360" w:lineRule="auto"/>
        <w:jc w:val="center"/>
        <w:rPr>
          <w:rFonts w:hint="eastAsia" w:ascii="宋体" w:hAnsi="宋体" w:eastAsia="宋体" w:cs="宋体"/>
          <w:b/>
          <w:bCs/>
          <w:szCs w:val="24"/>
          <w:highlight w:val="none"/>
          <w:lang w:val="en-US" w:eastAsia="zh-CN"/>
        </w:rPr>
        <w:sectPr>
          <w:headerReference r:id="rId4" w:type="first"/>
          <w:headerReference r:id="rId3" w:type="default"/>
          <w:footerReference r:id="rId5" w:type="default"/>
          <w:pgSz w:w="11906" w:h="16838"/>
          <w:pgMar w:top="1440" w:right="1800" w:bottom="1440" w:left="1800" w:header="851" w:footer="992" w:gutter="0"/>
          <w:pgNumType w:start="1"/>
          <w:cols w:space="720" w:num="1"/>
          <w:titlePg/>
          <w:docGrid w:type="lines" w:linePitch="326" w:charSpace="0"/>
        </w:sectPr>
      </w:pPr>
      <w:r>
        <w:rPr>
          <w:rFonts w:hint="eastAsia" w:ascii="宋体" w:hAnsi="宋体"/>
          <w:b/>
          <w:spacing w:val="28"/>
          <w:sz w:val="32"/>
          <w:highlight w:val="none"/>
        </w:rPr>
        <w:t>二〇二</w:t>
      </w:r>
      <w:r>
        <w:rPr>
          <w:rFonts w:hint="eastAsia" w:ascii="宋体" w:hAnsi="宋体"/>
          <w:b/>
          <w:spacing w:val="28"/>
          <w:sz w:val="32"/>
          <w:highlight w:val="none"/>
          <w:lang w:val="en-US" w:eastAsia="zh-CN"/>
        </w:rPr>
        <w:t>三</w:t>
      </w:r>
      <w:r>
        <w:rPr>
          <w:rFonts w:hint="eastAsia" w:ascii="宋体" w:hAnsi="宋体"/>
          <w:b/>
          <w:spacing w:val="28"/>
          <w:sz w:val="32"/>
          <w:highlight w:val="none"/>
        </w:rPr>
        <w:t>年</w:t>
      </w:r>
      <w:r>
        <w:rPr>
          <w:rFonts w:hint="eastAsia" w:ascii="宋体" w:hAnsi="宋体"/>
          <w:b/>
          <w:spacing w:val="28"/>
          <w:sz w:val="32"/>
          <w:highlight w:val="none"/>
          <w:lang w:val="en-US" w:eastAsia="zh-CN"/>
        </w:rPr>
        <w:t>十月</w:t>
      </w:r>
    </w:p>
    <w:p>
      <w:pPr>
        <w:spacing w:line="360" w:lineRule="auto"/>
        <w:jc w:val="center"/>
        <w:rPr>
          <w:rFonts w:ascii="宋体" w:hAnsi="宋体" w:cs="宋体"/>
          <w:b/>
          <w:bCs/>
          <w:szCs w:val="24"/>
          <w:highlight w:val="none"/>
        </w:rPr>
      </w:pPr>
      <w:r>
        <w:rPr>
          <w:rFonts w:hint="eastAsia" w:ascii="宋体" w:hAnsi="宋体" w:cs="宋体"/>
          <w:b/>
          <w:bCs/>
          <w:szCs w:val="24"/>
          <w:highlight w:val="none"/>
          <w:lang w:eastAsia="zh-CN"/>
        </w:rPr>
        <w:t>2023年城市网格化综合管理信息系统分平台维护</w:t>
      </w:r>
      <w:r>
        <w:rPr>
          <w:rFonts w:hint="eastAsia" w:ascii="宋体" w:hAnsi="宋体" w:cs="宋体"/>
          <w:b/>
          <w:bCs/>
          <w:szCs w:val="24"/>
          <w:highlight w:val="none"/>
        </w:rPr>
        <w:t>竞争性磋商公告</w:t>
      </w:r>
    </w:p>
    <w:p>
      <w:pPr>
        <w:spacing w:line="360" w:lineRule="auto"/>
        <w:rPr>
          <w:rFonts w:ascii="宋体" w:hAnsi="宋体" w:cs="宋体"/>
          <w:sz w:val="21"/>
          <w:highlight w:val="none"/>
        </w:rPr>
      </w:pPr>
    </w:p>
    <w:p>
      <w:pPr>
        <w:spacing w:line="360" w:lineRule="auto"/>
        <w:rPr>
          <w:rFonts w:ascii="宋体" w:hAnsi="宋体" w:cs="宋体"/>
          <w:sz w:val="21"/>
          <w:highlight w:val="none"/>
        </w:rPr>
      </w:pPr>
      <w:r>
        <w:rPr>
          <w:rFonts w:hint="eastAsia" w:ascii="宋体" w:hAnsi="宋体" w:cs="宋体"/>
          <w:sz w:val="21"/>
          <w:highlight w:val="none"/>
        </w:rPr>
        <w:t>项目概况</w:t>
      </w:r>
    </w:p>
    <w:p>
      <w:pPr>
        <w:spacing w:line="360" w:lineRule="auto"/>
        <w:rPr>
          <w:rFonts w:ascii="宋体" w:hAnsi="宋体" w:cs="宋体"/>
          <w:sz w:val="21"/>
          <w:highlight w:val="none"/>
        </w:rPr>
      </w:pPr>
      <w:r>
        <w:rPr>
          <w:rFonts w:hint="eastAsia" w:ascii="宋体" w:hAnsi="宋体" w:cs="宋体"/>
          <w:sz w:val="21"/>
          <w:highlight w:val="none"/>
          <w:lang w:eastAsia="zh-CN"/>
        </w:rPr>
        <w:t>2023年城市网格化综合管理信息系统分平台维护</w:t>
      </w:r>
      <w:r>
        <w:rPr>
          <w:rFonts w:hint="eastAsia" w:ascii="宋体" w:hAnsi="宋体" w:cs="宋体"/>
          <w:sz w:val="21"/>
          <w:highlight w:val="none"/>
        </w:rPr>
        <w:t>的潜在供应商应在</w:t>
      </w:r>
      <w:r>
        <w:rPr>
          <w:rFonts w:hint="eastAsia" w:ascii="宋体" w:hAnsi="宋体" w:cs="宋体"/>
          <w:bCs/>
          <w:sz w:val="21"/>
          <w:highlight w:val="none"/>
        </w:rPr>
        <w:t>上海市杨浦区国霞路458弄2号11楼</w:t>
      </w:r>
      <w:r>
        <w:rPr>
          <w:rFonts w:hint="eastAsia" w:ascii="宋体" w:hAnsi="宋体" w:cs="宋体"/>
          <w:sz w:val="21"/>
          <w:highlight w:val="none"/>
        </w:rPr>
        <w:t>获取采购文件，并于</w:t>
      </w:r>
      <w:r>
        <w:rPr>
          <w:rFonts w:hint="eastAsia" w:ascii="宋体" w:hAnsi="宋体" w:cs="宋体"/>
          <w:b/>
          <w:sz w:val="21"/>
          <w:highlight w:val="none"/>
          <w:lang w:val="en-US" w:eastAsia="zh-CN"/>
        </w:rPr>
        <w:t>2023年10月20日14:00</w:t>
      </w:r>
      <w:r>
        <w:rPr>
          <w:rFonts w:hint="eastAsia" w:ascii="宋体" w:hAnsi="宋体" w:cs="宋体"/>
          <w:sz w:val="21"/>
          <w:highlight w:val="none"/>
        </w:rPr>
        <w:t>（北京时间）前提交响应文件。</w:t>
      </w:r>
    </w:p>
    <w:p>
      <w:pPr>
        <w:spacing w:line="360" w:lineRule="auto"/>
        <w:rPr>
          <w:rFonts w:ascii="宋体" w:hAnsi="宋体" w:cs="宋体"/>
          <w:sz w:val="21"/>
          <w:highlight w:val="none"/>
        </w:rPr>
      </w:pPr>
      <w:r>
        <w:rPr>
          <w:rFonts w:hint="eastAsia" w:ascii="宋体" w:hAnsi="宋体" w:cs="宋体"/>
          <w:sz w:val="21"/>
          <w:highlight w:val="none"/>
        </w:rPr>
        <w:t>一、项目基本情况</w:t>
      </w:r>
    </w:p>
    <w:p>
      <w:pPr>
        <w:spacing w:line="360" w:lineRule="auto"/>
        <w:rPr>
          <w:rFonts w:hint="eastAsia" w:ascii="宋体" w:hAnsi="宋体" w:eastAsia="宋体" w:cs="宋体"/>
          <w:sz w:val="21"/>
          <w:highlight w:val="none"/>
          <w:lang w:eastAsia="zh-CN"/>
        </w:rPr>
      </w:pPr>
      <w:r>
        <w:rPr>
          <w:rFonts w:hint="eastAsia" w:ascii="宋体" w:hAnsi="宋体" w:cs="宋体"/>
          <w:sz w:val="21"/>
          <w:highlight w:val="none"/>
        </w:rPr>
        <w:t>项目编号：</w:t>
      </w:r>
      <w:r>
        <w:rPr>
          <w:rFonts w:hint="eastAsia" w:ascii="宋体" w:hAnsi="宋体" w:cs="宋体"/>
          <w:sz w:val="21"/>
          <w:highlight w:val="none"/>
          <w:lang w:eastAsia="zh-CN"/>
        </w:rPr>
        <w:t>SQ23-0682</w:t>
      </w:r>
    </w:p>
    <w:p>
      <w:pPr>
        <w:spacing w:line="360" w:lineRule="auto"/>
        <w:rPr>
          <w:rFonts w:hint="eastAsia" w:ascii="宋体" w:hAnsi="宋体" w:eastAsia="宋体" w:cs="宋体"/>
          <w:sz w:val="21"/>
          <w:highlight w:val="none"/>
          <w:lang w:eastAsia="zh-CN"/>
        </w:rPr>
      </w:pPr>
      <w:r>
        <w:rPr>
          <w:rFonts w:hint="eastAsia" w:ascii="宋体" w:hAnsi="宋体" w:cs="宋体"/>
          <w:sz w:val="21"/>
          <w:highlight w:val="none"/>
        </w:rPr>
        <w:t>项目名称：</w:t>
      </w:r>
      <w:r>
        <w:rPr>
          <w:rFonts w:hint="eastAsia" w:ascii="宋体" w:hAnsi="宋体" w:cs="宋体"/>
          <w:sz w:val="21"/>
          <w:highlight w:val="none"/>
          <w:lang w:eastAsia="zh-CN"/>
        </w:rPr>
        <w:t>2023年城市网格化综合管理信息系统分平台维护</w:t>
      </w:r>
    </w:p>
    <w:p>
      <w:pPr>
        <w:spacing w:line="360" w:lineRule="auto"/>
        <w:rPr>
          <w:rFonts w:ascii="宋体" w:hAnsi="宋体" w:cs="宋体"/>
          <w:sz w:val="21"/>
          <w:highlight w:val="none"/>
        </w:rPr>
      </w:pPr>
      <w:r>
        <w:rPr>
          <w:rFonts w:hint="eastAsia" w:ascii="宋体" w:hAnsi="宋体" w:cs="宋体"/>
          <w:sz w:val="21"/>
          <w:highlight w:val="none"/>
        </w:rPr>
        <w:t>采购方式：竞争性磋商</w:t>
      </w:r>
    </w:p>
    <w:p>
      <w:pPr>
        <w:spacing w:line="360" w:lineRule="auto"/>
        <w:rPr>
          <w:rFonts w:ascii="宋体" w:hAnsi="宋体" w:cs="宋体"/>
          <w:sz w:val="21"/>
          <w:highlight w:val="none"/>
        </w:rPr>
      </w:pPr>
      <w:r>
        <w:rPr>
          <w:rFonts w:hint="eastAsia" w:ascii="宋体" w:hAnsi="宋体" w:cs="宋体"/>
          <w:sz w:val="21"/>
          <w:highlight w:val="none"/>
        </w:rPr>
        <w:t>预算金额：</w:t>
      </w:r>
      <w:r>
        <w:rPr>
          <w:rFonts w:hint="eastAsia" w:ascii="宋体" w:hAnsi="宋体" w:cs="宋体"/>
          <w:sz w:val="21"/>
          <w:highlight w:val="none"/>
          <w:lang w:eastAsia="zh-CN"/>
        </w:rPr>
        <w:t>450,000.00</w:t>
      </w:r>
      <w:r>
        <w:rPr>
          <w:rFonts w:hint="eastAsia" w:ascii="宋体" w:hAnsi="宋体" w:cs="宋体"/>
          <w:sz w:val="21"/>
          <w:highlight w:val="none"/>
        </w:rPr>
        <w:t>元（人民币）</w:t>
      </w:r>
    </w:p>
    <w:p>
      <w:pPr>
        <w:spacing w:line="360" w:lineRule="auto"/>
        <w:rPr>
          <w:rFonts w:hint="eastAsia" w:ascii="宋体" w:hAnsi="宋体" w:cs="宋体"/>
          <w:b w:val="0"/>
          <w:bCs w:val="0"/>
          <w:sz w:val="21"/>
          <w:highlight w:val="none"/>
        </w:rPr>
      </w:pPr>
      <w:r>
        <w:rPr>
          <w:rFonts w:hint="eastAsia" w:ascii="宋体" w:hAnsi="宋体" w:cs="宋体"/>
          <w:color w:val="auto"/>
          <w:sz w:val="21"/>
          <w:highlight w:val="none"/>
        </w:rPr>
        <w:t>采购需求：对宝山区城市</w:t>
      </w:r>
      <w:r>
        <w:rPr>
          <w:rFonts w:hint="eastAsia" w:ascii="宋体" w:hAnsi="宋体" w:cs="宋体"/>
          <w:color w:val="auto"/>
          <w:sz w:val="21"/>
          <w:highlight w:val="none"/>
          <w:lang w:eastAsia="zh-CN"/>
        </w:rPr>
        <w:t>运行</w:t>
      </w:r>
      <w:r>
        <w:rPr>
          <w:rFonts w:hint="eastAsia" w:ascii="宋体" w:hAnsi="宋体" w:cs="宋体"/>
          <w:color w:val="auto"/>
          <w:sz w:val="21"/>
          <w:highlight w:val="none"/>
        </w:rPr>
        <w:t>管理中心信息系统配置的相关开发软件和应用软件提供维护服</w:t>
      </w:r>
      <w:r>
        <w:rPr>
          <w:rFonts w:hint="eastAsia" w:ascii="宋体" w:hAnsi="宋体" w:cs="宋体"/>
          <w:sz w:val="21"/>
          <w:highlight w:val="none"/>
        </w:rPr>
        <w:t>务，主要包括信息平台应用软件、产品软件等。</w:t>
      </w:r>
    </w:p>
    <w:p>
      <w:pPr>
        <w:spacing w:line="360" w:lineRule="auto"/>
        <w:rPr>
          <w:rFonts w:hint="default" w:ascii="宋体" w:hAnsi="宋体" w:cs="宋体"/>
          <w:b w:val="0"/>
          <w:bCs w:val="0"/>
          <w:sz w:val="21"/>
          <w:highlight w:val="none"/>
          <w:lang w:val="en-US" w:eastAsia="zh-CN"/>
        </w:rPr>
      </w:pPr>
      <w:r>
        <w:rPr>
          <w:rFonts w:hint="eastAsia" w:ascii="宋体" w:hAnsi="宋体" w:cs="宋体"/>
          <w:b w:val="0"/>
          <w:bCs w:val="0"/>
          <w:sz w:val="21"/>
          <w:highlight w:val="none"/>
        </w:rPr>
        <w:t>合同履行期限：</w:t>
      </w:r>
      <w:r>
        <w:rPr>
          <w:rFonts w:hint="eastAsia" w:ascii="宋体" w:hAnsi="宋体" w:cs="宋体"/>
          <w:b w:val="0"/>
          <w:bCs w:val="0"/>
          <w:sz w:val="21"/>
          <w:highlight w:val="none"/>
          <w:lang w:val="en-US" w:eastAsia="zh-CN"/>
        </w:rPr>
        <w:t>自合同签订之日起1年。</w:t>
      </w:r>
    </w:p>
    <w:p>
      <w:pPr>
        <w:spacing w:line="360" w:lineRule="auto"/>
        <w:rPr>
          <w:rFonts w:ascii="宋体" w:hAnsi="宋体" w:cs="宋体"/>
          <w:sz w:val="21"/>
          <w:highlight w:val="none"/>
        </w:rPr>
      </w:pPr>
      <w:r>
        <w:rPr>
          <w:rFonts w:hint="eastAsia" w:ascii="宋体" w:hAnsi="宋体" w:cs="宋体"/>
          <w:sz w:val="21"/>
          <w:highlight w:val="none"/>
        </w:rPr>
        <w:t>本项目（不接受）联合体投标。</w:t>
      </w:r>
    </w:p>
    <w:p>
      <w:pPr>
        <w:spacing w:line="360" w:lineRule="auto"/>
        <w:rPr>
          <w:rFonts w:hint="eastAsia" w:ascii="宋体" w:hAnsi="宋体" w:cs="宋体"/>
          <w:sz w:val="21"/>
          <w:highlight w:val="none"/>
        </w:rPr>
      </w:pPr>
    </w:p>
    <w:p>
      <w:pPr>
        <w:spacing w:line="360" w:lineRule="auto"/>
        <w:rPr>
          <w:rFonts w:ascii="宋体" w:hAnsi="宋体" w:cs="宋体"/>
          <w:sz w:val="21"/>
          <w:highlight w:val="none"/>
        </w:rPr>
      </w:pPr>
      <w:r>
        <w:rPr>
          <w:rFonts w:hint="eastAsia" w:ascii="宋体" w:hAnsi="宋体" w:cs="宋体"/>
          <w:sz w:val="21"/>
          <w:highlight w:val="none"/>
        </w:rPr>
        <w:t>二、申请人的资格要求：</w:t>
      </w:r>
    </w:p>
    <w:p>
      <w:pPr>
        <w:spacing w:line="360" w:lineRule="auto"/>
        <w:rPr>
          <w:rFonts w:ascii="宋体" w:hAnsi="宋体" w:cs="宋体"/>
          <w:sz w:val="21"/>
          <w:highlight w:val="none"/>
        </w:rPr>
      </w:pPr>
      <w:r>
        <w:rPr>
          <w:rFonts w:hint="eastAsia" w:ascii="宋体" w:hAnsi="宋体" w:cs="宋体"/>
          <w:sz w:val="21"/>
          <w:highlight w:val="none"/>
        </w:rPr>
        <w:t>1.满足《中华人民共和国政府采购法》第二十二条规定。</w:t>
      </w:r>
    </w:p>
    <w:p>
      <w:pPr>
        <w:spacing w:line="360" w:lineRule="auto"/>
        <w:rPr>
          <w:rFonts w:hint="eastAsia" w:ascii="宋体" w:hAnsi="宋体" w:cs="宋体"/>
          <w:sz w:val="21"/>
          <w:highlight w:val="none"/>
          <w:lang w:val="en-US" w:eastAsia="zh-CN"/>
        </w:rPr>
      </w:pPr>
      <w:r>
        <w:rPr>
          <w:rFonts w:hint="eastAsia" w:ascii="宋体" w:hAnsi="宋体" w:cs="宋体"/>
          <w:sz w:val="21"/>
          <w:highlight w:val="none"/>
          <w:lang w:val="en-US" w:eastAsia="zh-CN"/>
        </w:rPr>
        <w:t>2.落实政府采购政策需满足的资格要求：本项目专门面向中型、小型、微型企业采购。</w:t>
      </w:r>
    </w:p>
    <w:p>
      <w:pPr>
        <w:spacing w:line="360" w:lineRule="auto"/>
        <w:rPr>
          <w:rFonts w:ascii="宋体" w:hAnsi="宋体" w:cs="宋体"/>
          <w:sz w:val="21"/>
          <w:highlight w:val="none"/>
        </w:rPr>
      </w:pPr>
      <w:r>
        <w:rPr>
          <w:rFonts w:hint="eastAsia" w:ascii="宋体" w:hAnsi="宋体" w:cs="宋体"/>
          <w:sz w:val="21"/>
          <w:highlight w:val="none"/>
          <w:lang w:val="en-US" w:eastAsia="zh-CN"/>
        </w:rPr>
        <w:t>3</w:t>
      </w:r>
      <w:r>
        <w:rPr>
          <w:rFonts w:hint="eastAsia" w:ascii="宋体" w:hAnsi="宋体" w:cs="宋体"/>
          <w:sz w:val="21"/>
          <w:highlight w:val="none"/>
        </w:rPr>
        <w:t>.本项目的特定资格要求：</w:t>
      </w:r>
    </w:p>
    <w:p>
      <w:pPr>
        <w:spacing w:line="360" w:lineRule="auto"/>
        <w:rPr>
          <w:rFonts w:hint="eastAsia" w:ascii="宋体" w:hAnsi="宋体" w:eastAsia="宋体" w:cs="宋体"/>
          <w:sz w:val="21"/>
          <w:highlight w:val="none"/>
          <w:lang w:eastAsia="zh-CN"/>
        </w:rPr>
      </w:pPr>
      <w:r>
        <w:rPr>
          <w:rFonts w:hint="eastAsia" w:ascii="宋体" w:hAnsi="宋体" w:cs="宋体"/>
          <w:sz w:val="21"/>
          <w:highlight w:val="none"/>
        </w:rPr>
        <w:t>（</w:t>
      </w:r>
      <w:r>
        <w:rPr>
          <w:rFonts w:hint="eastAsia" w:ascii="宋体" w:hAnsi="宋体" w:cs="宋体"/>
          <w:sz w:val="21"/>
          <w:highlight w:val="none"/>
          <w:lang w:val="en-US" w:eastAsia="zh-CN"/>
        </w:rPr>
        <w:t>1</w:t>
      </w:r>
      <w:r>
        <w:rPr>
          <w:rFonts w:hint="eastAsia" w:ascii="宋体" w:hAnsi="宋体" w:cs="宋体"/>
          <w:sz w:val="21"/>
          <w:highlight w:val="none"/>
        </w:rPr>
        <w:t>）法人或者其他组织的营业执照等证明文件，自然人的身份证明。</w:t>
      </w:r>
    </w:p>
    <w:p>
      <w:pPr>
        <w:spacing w:line="360" w:lineRule="auto"/>
        <w:rPr>
          <w:rFonts w:hint="eastAsia" w:ascii="宋体" w:hAnsi="宋体" w:eastAsia="宋体" w:cs="宋体"/>
          <w:sz w:val="21"/>
          <w:highlight w:val="none"/>
          <w:lang w:eastAsia="zh-CN"/>
        </w:rPr>
      </w:pPr>
      <w:r>
        <w:rPr>
          <w:rFonts w:hint="eastAsia" w:ascii="宋体" w:hAnsi="宋体" w:cs="宋体"/>
          <w:sz w:val="21"/>
          <w:highlight w:val="none"/>
        </w:rPr>
        <w:t>（</w:t>
      </w:r>
      <w:r>
        <w:rPr>
          <w:rFonts w:hint="eastAsia" w:ascii="宋体" w:hAnsi="宋体" w:cs="宋体"/>
          <w:sz w:val="21"/>
          <w:highlight w:val="none"/>
          <w:lang w:val="en-US" w:eastAsia="zh-CN"/>
        </w:rPr>
        <w:t>2</w:t>
      </w:r>
      <w:r>
        <w:rPr>
          <w:rFonts w:hint="eastAsia" w:ascii="宋体" w:hAnsi="宋体" w:cs="宋体"/>
          <w:sz w:val="21"/>
          <w:highlight w:val="none"/>
        </w:rPr>
        <w:t>）财务状况及税收、社会保障资金缴纳情况的书面声明。</w:t>
      </w:r>
    </w:p>
    <w:p>
      <w:pPr>
        <w:spacing w:line="360" w:lineRule="auto"/>
        <w:rPr>
          <w:rFonts w:hint="eastAsia" w:ascii="宋体" w:hAnsi="宋体" w:eastAsia="宋体" w:cs="宋体"/>
          <w:sz w:val="21"/>
          <w:highlight w:val="none"/>
          <w:lang w:eastAsia="zh-CN"/>
        </w:rPr>
      </w:pPr>
      <w:r>
        <w:rPr>
          <w:rFonts w:hint="eastAsia" w:ascii="宋体" w:hAnsi="宋体" w:cs="宋体"/>
          <w:sz w:val="21"/>
          <w:highlight w:val="none"/>
        </w:rPr>
        <w:t>（</w:t>
      </w:r>
      <w:r>
        <w:rPr>
          <w:rFonts w:hint="eastAsia" w:ascii="宋体" w:hAnsi="宋体" w:cs="宋体"/>
          <w:sz w:val="21"/>
          <w:highlight w:val="none"/>
          <w:lang w:val="en-US" w:eastAsia="zh-CN"/>
        </w:rPr>
        <w:t>3</w:t>
      </w:r>
      <w:r>
        <w:rPr>
          <w:rFonts w:hint="eastAsia" w:ascii="宋体" w:hAnsi="宋体" w:cs="宋体"/>
          <w:sz w:val="21"/>
          <w:highlight w:val="none"/>
        </w:rPr>
        <w:t>）具备履行合同所必需的设备和专业技术能力的证明材料。</w:t>
      </w:r>
    </w:p>
    <w:p>
      <w:pPr>
        <w:spacing w:line="360" w:lineRule="auto"/>
        <w:rPr>
          <w:rFonts w:hint="eastAsia" w:ascii="宋体" w:hAnsi="宋体" w:eastAsia="宋体" w:cs="宋体"/>
          <w:sz w:val="21"/>
          <w:highlight w:val="none"/>
          <w:lang w:eastAsia="zh-CN"/>
        </w:rPr>
      </w:pPr>
      <w:r>
        <w:rPr>
          <w:rFonts w:hint="eastAsia" w:ascii="宋体" w:hAnsi="宋体" w:cs="宋体"/>
          <w:sz w:val="21"/>
          <w:highlight w:val="none"/>
        </w:rPr>
        <w:t>（</w:t>
      </w:r>
      <w:r>
        <w:rPr>
          <w:rFonts w:hint="eastAsia" w:ascii="宋体" w:hAnsi="宋体" w:cs="宋体"/>
          <w:sz w:val="21"/>
          <w:highlight w:val="none"/>
          <w:lang w:val="en-US" w:eastAsia="zh-CN"/>
        </w:rPr>
        <w:t>4</w:t>
      </w:r>
      <w:r>
        <w:rPr>
          <w:rFonts w:hint="eastAsia" w:ascii="宋体" w:hAnsi="宋体" w:cs="宋体"/>
          <w:sz w:val="21"/>
          <w:highlight w:val="none"/>
        </w:rPr>
        <w:t>）参加采购活动前3年内在经营活动中没有重大违法记录的书面声明。</w:t>
      </w:r>
    </w:p>
    <w:p>
      <w:pPr>
        <w:spacing w:line="360" w:lineRule="auto"/>
        <w:rPr>
          <w:rFonts w:ascii="宋体" w:hAnsi="宋体" w:cs="宋体"/>
          <w:sz w:val="21"/>
          <w:highlight w:val="none"/>
        </w:rPr>
      </w:pPr>
      <w:r>
        <w:rPr>
          <w:rFonts w:hint="eastAsia" w:ascii="宋体" w:hAnsi="宋体" w:cs="宋体"/>
          <w:sz w:val="21"/>
          <w:highlight w:val="none"/>
        </w:rPr>
        <w:t>（</w:t>
      </w:r>
      <w:r>
        <w:rPr>
          <w:rFonts w:hint="eastAsia" w:ascii="宋体" w:hAnsi="宋体" w:cs="宋体"/>
          <w:sz w:val="21"/>
          <w:highlight w:val="none"/>
          <w:lang w:val="en-US" w:eastAsia="zh-CN"/>
        </w:rPr>
        <w:t>5</w:t>
      </w:r>
      <w:r>
        <w:rPr>
          <w:rFonts w:hint="eastAsia" w:ascii="宋体" w:hAnsi="宋体" w:cs="宋体"/>
          <w:sz w:val="21"/>
          <w:highlight w:val="none"/>
        </w:rPr>
        <w:t>）未被“信用中国”（www.creditchina.gov.cn）、中国政府采购网（www.ccgp.gov.cn）列入失信被执行人、重大税收违法案件当事人名单、政府采购严重违法失信行为记录名单。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z w:val="21"/>
          <w:highlight w:val="none"/>
        </w:rPr>
      </w:pPr>
      <w:r>
        <w:rPr>
          <w:rFonts w:hint="eastAsia" w:ascii="宋体" w:hAnsi="宋体" w:cs="宋体"/>
          <w:sz w:val="21"/>
          <w:highlight w:val="none"/>
        </w:rPr>
        <w:t>（</w:t>
      </w:r>
      <w:r>
        <w:rPr>
          <w:rFonts w:hint="eastAsia" w:ascii="宋体" w:hAnsi="宋体" w:cs="宋体"/>
          <w:sz w:val="21"/>
          <w:highlight w:val="none"/>
          <w:lang w:val="en-US" w:eastAsia="zh-CN"/>
        </w:rPr>
        <w:t>6</w:t>
      </w:r>
      <w:r>
        <w:rPr>
          <w:rFonts w:hint="eastAsia" w:ascii="宋体" w:hAnsi="宋体" w:cs="宋体"/>
          <w:sz w:val="21"/>
          <w:highlight w:val="none"/>
        </w:rPr>
        <w:t>）单位负责人为同一人或者存在直接控股、管理关系的不同响应供应商，不得同时参加同一包件的投标或者未划分包件的同一招标项目的投标。</w:t>
      </w:r>
    </w:p>
    <w:p>
      <w:pPr>
        <w:spacing w:line="360" w:lineRule="auto"/>
        <w:rPr>
          <w:rFonts w:ascii="宋体" w:hAnsi="宋体" w:cs="宋体"/>
          <w:sz w:val="21"/>
          <w:highlight w:val="none"/>
        </w:rPr>
      </w:pPr>
    </w:p>
    <w:p>
      <w:pPr>
        <w:spacing w:line="360" w:lineRule="auto"/>
        <w:rPr>
          <w:rFonts w:ascii="宋体" w:hAnsi="宋体" w:cs="宋体"/>
          <w:sz w:val="21"/>
          <w:highlight w:val="none"/>
        </w:rPr>
      </w:pPr>
      <w:r>
        <w:rPr>
          <w:rFonts w:hint="eastAsia" w:ascii="宋体" w:hAnsi="宋体" w:cs="宋体"/>
          <w:sz w:val="21"/>
          <w:highlight w:val="none"/>
        </w:rPr>
        <w:t>三、获取采购文件</w:t>
      </w:r>
    </w:p>
    <w:p>
      <w:pPr>
        <w:spacing w:line="360" w:lineRule="auto"/>
        <w:rPr>
          <w:rFonts w:hint="eastAsia" w:ascii="宋体" w:hAnsi="宋体" w:cs="宋体"/>
          <w:sz w:val="21"/>
          <w:highlight w:val="none"/>
        </w:rPr>
      </w:pPr>
      <w:r>
        <w:rPr>
          <w:rFonts w:hint="eastAsia" w:ascii="宋体" w:hAnsi="宋体" w:cs="宋体"/>
          <w:sz w:val="21"/>
        </w:rPr>
        <w:t>时间：</w:t>
      </w:r>
      <w:r>
        <w:rPr>
          <w:rFonts w:hint="eastAsia" w:ascii="宋体" w:hAnsi="宋体" w:cs="宋体"/>
          <w:sz w:val="21"/>
          <w:lang w:eastAsia="zh-CN"/>
        </w:rPr>
        <w:t>2023年10月8日至2023年10月12日</w:t>
      </w:r>
      <w:r>
        <w:rPr>
          <w:rFonts w:hint="eastAsia" w:ascii="宋体" w:hAnsi="宋体" w:cs="宋体"/>
          <w:sz w:val="21"/>
        </w:rPr>
        <w:t>，每天上午9:00至11:00，下午13:00至16:00。（北京时间，法定节假日除外）</w:t>
      </w:r>
      <w:r>
        <w:rPr>
          <w:rFonts w:hint="eastAsia" w:ascii="宋体" w:hAnsi="宋体" w:cs="宋体"/>
          <w:sz w:val="21"/>
          <w:highlight w:val="none"/>
        </w:rPr>
        <w:t>接受供应商到上海申权招标咨询有限公司（上海市杨浦区国霞路458弄2号11楼）报名购买</w:t>
      </w:r>
      <w:r>
        <w:rPr>
          <w:rFonts w:hint="eastAsia" w:ascii="宋体" w:hAnsi="宋体" w:cs="宋体"/>
          <w:sz w:val="21"/>
          <w:highlight w:val="none"/>
          <w:lang w:eastAsia="zh-CN"/>
        </w:rPr>
        <w:t>磋商</w:t>
      </w:r>
      <w:r>
        <w:rPr>
          <w:rFonts w:hint="eastAsia" w:ascii="宋体" w:hAnsi="宋体" w:cs="宋体"/>
          <w:sz w:val="21"/>
          <w:highlight w:val="none"/>
        </w:rPr>
        <w:t>文件。</w:t>
      </w:r>
      <w:r>
        <w:rPr>
          <w:rFonts w:hint="eastAsia" w:ascii="宋体" w:hAnsi="宋体" w:cs="宋体"/>
          <w:sz w:val="21"/>
          <w:highlight w:val="none"/>
          <w:lang w:eastAsia="zh-CN"/>
        </w:rPr>
        <w:t>磋商</w:t>
      </w:r>
      <w:r>
        <w:rPr>
          <w:rFonts w:hint="eastAsia" w:ascii="宋体" w:hAnsi="宋体" w:cs="宋体"/>
          <w:sz w:val="21"/>
          <w:highlight w:val="none"/>
        </w:rPr>
        <w:t>文件售价为人民币500元（</w:t>
      </w:r>
      <w:r>
        <w:rPr>
          <w:rFonts w:hint="eastAsia" w:ascii="宋体" w:hAnsi="宋体" w:cs="宋体"/>
          <w:sz w:val="21"/>
          <w:highlight w:val="none"/>
          <w:lang w:val="en-US" w:eastAsia="zh-CN"/>
        </w:rPr>
        <w:t>以</w:t>
      </w:r>
      <w:r>
        <w:rPr>
          <w:rFonts w:hint="eastAsia" w:ascii="宋体" w:hAnsi="宋体" w:cs="宋体"/>
          <w:sz w:val="21"/>
          <w:highlight w:val="none"/>
        </w:rPr>
        <w:t>现金</w:t>
      </w:r>
      <w:r>
        <w:rPr>
          <w:rFonts w:hint="eastAsia" w:ascii="宋体" w:hAnsi="宋体" w:cs="宋体"/>
          <w:sz w:val="21"/>
          <w:highlight w:val="none"/>
          <w:lang w:val="en-US" w:eastAsia="zh-CN"/>
        </w:rPr>
        <w:t>支付</w:t>
      </w:r>
      <w:r>
        <w:rPr>
          <w:rFonts w:hint="eastAsia" w:ascii="宋体" w:hAnsi="宋体" w:cs="宋体"/>
          <w:sz w:val="21"/>
          <w:highlight w:val="none"/>
        </w:rPr>
        <w:t>），售后不退。</w:t>
      </w:r>
    </w:p>
    <w:p>
      <w:pPr>
        <w:spacing w:line="360" w:lineRule="auto"/>
        <w:rPr>
          <w:rFonts w:hint="eastAsia" w:ascii="宋体" w:hAnsi="宋体" w:cs="宋体"/>
          <w:sz w:val="21"/>
          <w:highlight w:val="none"/>
        </w:rPr>
      </w:pPr>
      <w:r>
        <w:rPr>
          <w:rFonts w:hint="eastAsia" w:ascii="宋体" w:hAnsi="宋体" w:cs="宋体"/>
          <w:sz w:val="21"/>
          <w:highlight w:val="none"/>
        </w:rPr>
        <w:t>符合条件的供应商购买文件时须携带的资料（原件验看，复印件留存，复印件须加盖公章）。</w:t>
      </w:r>
    </w:p>
    <w:p>
      <w:pPr>
        <w:spacing w:line="360" w:lineRule="auto"/>
        <w:rPr>
          <w:rFonts w:hint="eastAsia" w:ascii="宋体" w:hAnsi="宋体" w:cs="宋体"/>
          <w:sz w:val="21"/>
          <w:highlight w:val="none"/>
        </w:rPr>
      </w:pPr>
      <w:r>
        <w:rPr>
          <w:rFonts w:hint="eastAsia" w:ascii="宋体" w:hAnsi="宋体" w:cs="宋体"/>
          <w:sz w:val="21"/>
          <w:highlight w:val="none"/>
        </w:rPr>
        <w:t>（1）法人或者其他组织的营业执照等证明文件，自然人的身份证明文件。</w:t>
      </w:r>
    </w:p>
    <w:p>
      <w:pPr>
        <w:spacing w:line="360" w:lineRule="auto"/>
        <w:rPr>
          <w:rFonts w:hint="eastAsia" w:ascii="宋体" w:hAnsi="宋体" w:cs="宋体"/>
          <w:sz w:val="21"/>
          <w:highlight w:val="none"/>
        </w:rPr>
      </w:pPr>
      <w:r>
        <w:rPr>
          <w:rFonts w:hint="eastAsia" w:ascii="宋体" w:hAnsi="宋体" w:cs="宋体"/>
          <w:sz w:val="21"/>
          <w:highlight w:val="none"/>
        </w:rPr>
        <w:t>（2）供应商法定代表人授权书。</w:t>
      </w:r>
    </w:p>
    <w:p>
      <w:pPr>
        <w:spacing w:line="360" w:lineRule="auto"/>
        <w:rPr>
          <w:rFonts w:hint="eastAsia" w:ascii="宋体" w:hAnsi="宋体" w:cs="宋体"/>
          <w:sz w:val="21"/>
          <w:highlight w:val="none"/>
        </w:rPr>
      </w:pPr>
      <w:r>
        <w:rPr>
          <w:rFonts w:hint="eastAsia" w:ascii="宋体" w:hAnsi="宋体" w:cs="宋体"/>
          <w:sz w:val="21"/>
          <w:highlight w:val="none"/>
        </w:rPr>
        <w:t>（3）被委托人身份证明。</w:t>
      </w:r>
    </w:p>
    <w:p>
      <w:pPr>
        <w:spacing w:line="360" w:lineRule="auto"/>
        <w:rPr>
          <w:rFonts w:hint="eastAsia" w:ascii="宋体" w:hAnsi="宋体" w:cs="宋体"/>
          <w:sz w:val="21"/>
          <w:highlight w:val="none"/>
        </w:rPr>
      </w:pPr>
      <w:r>
        <w:rPr>
          <w:rFonts w:hint="eastAsia" w:ascii="宋体" w:hAnsi="宋体" w:cs="宋体"/>
          <w:sz w:val="21"/>
          <w:highlight w:val="none"/>
        </w:rPr>
        <w:t>凡愿参加磋商响应的合格供应商应在上述规定的时间内按照规定获取磋商文件，逾期不再办理。未按规定获取磋商文件的响应将被拒绝。</w:t>
      </w:r>
    </w:p>
    <w:p>
      <w:pPr>
        <w:spacing w:line="360" w:lineRule="auto"/>
        <w:rPr>
          <w:rFonts w:hint="eastAsia" w:ascii="宋体" w:hAnsi="宋体" w:cs="宋体"/>
          <w:sz w:val="21"/>
          <w:highlight w:val="none"/>
        </w:rPr>
      </w:pPr>
      <w:r>
        <w:rPr>
          <w:rFonts w:hint="eastAsia" w:ascii="宋体" w:hAnsi="宋体" w:cs="宋体"/>
          <w:sz w:val="21"/>
          <w:highlight w:val="none"/>
        </w:rPr>
        <w:t>注：供应商须保证报名及获得磋商文件需提交的资料和所填写内容真实、完整、有效、一致，如因响应供应商递交虚假材料或填写信息错误导致的与本项目有关的任何损失由供应商承担。</w:t>
      </w:r>
    </w:p>
    <w:p>
      <w:pPr>
        <w:spacing w:line="360" w:lineRule="auto"/>
        <w:rPr>
          <w:rFonts w:ascii="宋体" w:hAnsi="宋体" w:cs="宋体"/>
          <w:sz w:val="21"/>
          <w:highlight w:val="none"/>
        </w:rPr>
      </w:pPr>
    </w:p>
    <w:p>
      <w:pPr>
        <w:spacing w:line="360" w:lineRule="auto"/>
        <w:rPr>
          <w:rFonts w:ascii="宋体" w:hAnsi="宋体" w:cs="宋体"/>
          <w:sz w:val="21"/>
          <w:highlight w:val="none"/>
        </w:rPr>
      </w:pPr>
      <w:r>
        <w:rPr>
          <w:rFonts w:hint="eastAsia" w:ascii="宋体" w:hAnsi="宋体" w:cs="宋体"/>
          <w:sz w:val="21"/>
          <w:highlight w:val="none"/>
        </w:rPr>
        <w:t>四、响应文件提交</w:t>
      </w:r>
    </w:p>
    <w:p>
      <w:pPr>
        <w:spacing w:line="360" w:lineRule="auto"/>
        <w:rPr>
          <w:rFonts w:ascii="宋体" w:hAnsi="宋体" w:cs="宋体"/>
          <w:sz w:val="21"/>
          <w:highlight w:val="none"/>
        </w:rPr>
      </w:pPr>
      <w:r>
        <w:rPr>
          <w:rFonts w:hint="eastAsia" w:ascii="宋体" w:hAnsi="宋体" w:cs="宋体"/>
          <w:sz w:val="21"/>
          <w:highlight w:val="none"/>
        </w:rPr>
        <w:t>截止时间：</w:t>
      </w:r>
      <w:r>
        <w:rPr>
          <w:rFonts w:hint="eastAsia" w:ascii="宋体" w:hAnsi="宋体" w:cs="宋体"/>
          <w:b/>
          <w:sz w:val="21"/>
          <w:highlight w:val="none"/>
          <w:lang w:eastAsia="zh-CN"/>
        </w:rPr>
        <w:t>2023年10月20日14:00</w:t>
      </w:r>
      <w:r>
        <w:rPr>
          <w:rFonts w:hint="eastAsia" w:ascii="宋体" w:hAnsi="宋体" w:cs="宋体"/>
          <w:sz w:val="21"/>
          <w:highlight w:val="none"/>
        </w:rPr>
        <w:t>（北京时间）</w:t>
      </w:r>
    </w:p>
    <w:p>
      <w:pPr>
        <w:spacing w:line="360" w:lineRule="auto"/>
        <w:rPr>
          <w:rFonts w:ascii="宋体" w:hAnsi="宋体" w:cs="宋体"/>
          <w:sz w:val="21"/>
          <w:highlight w:val="none"/>
        </w:rPr>
      </w:pPr>
      <w:r>
        <w:rPr>
          <w:rFonts w:hint="eastAsia" w:ascii="宋体" w:hAnsi="宋体" w:cs="宋体"/>
          <w:sz w:val="21"/>
          <w:highlight w:val="none"/>
        </w:rPr>
        <w:t>地点：上海市杨浦区国霞路458弄2号11楼</w:t>
      </w:r>
    </w:p>
    <w:p>
      <w:pPr>
        <w:spacing w:line="360" w:lineRule="auto"/>
        <w:rPr>
          <w:rFonts w:ascii="宋体" w:hAnsi="宋体" w:cs="宋体"/>
          <w:sz w:val="21"/>
          <w:highlight w:val="none"/>
        </w:rPr>
      </w:pPr>
    </w:p>
    <w:p>
      <w:pPr>
        <w:spacing w:line="360" w:lineRule="auto"/>
        <w:rPr>
          <w:rFonts w:ascii="宋体" w:hAnsi="宋体" w:cs="宋体"/>
          <w:sz w:val="21"/>
          <w:highlight w:val="none"/>
        </w:rPr>
      </w:pPr>
      <w:r>
        <w:rPr>
          <w:rFonts w:hint="eastAsia" w:ascii="宋体" w:hAnsi="宋体" w:cs="宋体"/>
          <w:sz w:val="21"/>
          <w:highlight w:val="none"/>
        </w:rPr>
        <w:t>五、开启</w:t>
      </w:r>
    </w:p>
    <w:p>
      <w:pPr>
        <w:spacing w:line="360" w:lineRule="auto"/>
        <w:rPr>
          <w:rFonts w:ascii="宋体" w:hAnsi="宋体" w:cs="宋体"/>
          <w:sz w:val="21"/>
          <w:highlight w:val="none"/>
        </w:rPr>
      </w:pPr>
      <w:r>
        <w:rPr>
          <w:rFonts w:hint="eastAsia" w:ascii="宋体" w:hAnsi="宋体" w:cs="宋体"/>
          <w:sz w:val="21"/>
          <w:highlight w:val="none"/>
        </w:rPr>
        <w:t>时间：</w:t>
      </w:r>
      <w:r>
        <w:rPr>
          <w:rFonts w:hint="eastAsia" w:ascii="宋体" w:hAnsi="宋体" w:cs="宋体"/>
          <w:b/>
          <w:sz w:val="21"/>
          <w:highlight w:val="none"/>
          <w:lang w:eastAsia="zh-CN"/>
        </w:rPr>
        <w:t>2023年10月20日14:00</w:t>
      </w:r>
      <w:r>
        <w:rPr>
          <w:rFonts w:hint="eastAsia" w:ascii="宋体" w:hAnsi="宋体" w:cs="宋体"/>
          <w:sz w:val="21"/>
          <w:highlight w:val="none"/>
        </w:rPr>
        <w:t>（北京时间）</w:t>
      </w:r>
    </w:p>
    <w:p>
      <w:pPr>
        <w:spacing w:line="360" w:lineRule="auto"/>
        <w:rPr>
          <w:rFonts w:ascii="宋体" w:hAnsi="宋体" w:cs="宋体"/>
          <w:sz w:val="21"/>
          <w:highlight w:val="none"/>
        </w:rPr>
      </w:pPr>
      <w:r>
        <w:rPr>
          <w:rFonts w:hint="eastAsia" w:ascii="宋体" w:hAnsi="宋体" w:cs="宋体"/>
          <w:sz w:val="21"/>
          <w:highlight w:val="none"/>
        </w:rPr>
        <w:t>地点：上海市杨浦区国霞路458弄2号11楼</w:t>
      </w:r>
    </w:p>
    <w:p>
      <w:pPr>
        <w:spacing w:line="360" w:lineRule="auto"/>
        <w:rPr>
          <w:rFonts w:ascii="宋体" w:hAnsi="宋体" w:cs="宋体"/>
          <w:sz w:val="21"/>
          <w:highlight w:val="none"/>
        </w:rPr>
      </w:pPr>
    </w:p>
    <w:p>
      <w:pPr>
        <w:spacing w:line="360" w:lineRule="auto"/>
        <w:rPr>
          <w:rFonts w:ascii="宋体" w:hAnsi="宋体" w:cs="宋体"/>
          <w:sz w:val="21"/>
          <w:highlight w:val="none"/>
        </w:rPr>
      </w:pPr>
      <w:r>
        <w:rPr>
          <w:rFonts w:hint="eastAsia" w:ascii="宋体" w:hAnsi="宋体" w:cs="宋体"/>
          <w:sz w:val="21"/>
          <w:highlight w:val="none"/>
        </w:rPr>
        <w:t>六、公告期限</w:t>
      </w:r>
    </w:p>
    <w:p>
      <w:pPr>
        <w:spacing w:line="360" w:lineRule="auto"/>
        <w:rPr>
          <w:rFonts w:ascii="宋体" w:hAnsi="宋体" w:cs="宋体"/>
          <w:sz w:val="21"/>
          <w:highlight w:val="none"/>
        </w:rPr>
      </w:pPr>
      <w:r>
        <w:rPr>
          <w:rFonts w:hint="eastAsia" w:ascii="宋体" w:hAnsi="宋体" w:cs="宋体"/>
          <w:sz w:val="21"/>
          <w:highlight w:val="none"/>
        </w:rPr>
        <w:t>自本公告发布之日起3个工作日。</w:t>
      </w:r>
    </w:p>
    <w:p>
      <w:pPr>
        <w:spacing w:line="360" w:lineRule="auto"/>
        <w:rPr>
          <w:rFonts w:ascii="宋体" w:hAnsi="宋体" w:cs="宋体"/>
          <w:sz w:val="21"/>
          <w:highlight w:val="none"/>
        </w:rPr>
      </w:pPr>
    </w:p>
    <w:p>
      <w:pPr>
        <w:spacing w:line="360" w:lineRule="auto"/>
        <w:rPr>
          <w:rFonts w:ascii="宋体" w:hAnsi="宋体" w:cs="宋体"/>
          <w:sz w:val="21"/>
          <w:highlight w:val="none"/>
        </w:rPr>
      </w:pPr>
      <w:r>
        <w:rPr>
          <w:rFonts w:hint="eastAsia" w:ascii="宋体" w:hAnsi="宋体" w:cs="宋体"/>
          <w:sz w:val="21"/>
          <w:highlight w:val="none"/>
        </w:rPr>
        <w:t>七、其他补充事宜</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sz w:val="21"/>
          <w:highlight w:val="none"/>
        </w:rPr>
      </w:pPr>
      <w:r>
        <w:rPr>
          <w:rFonts w:hint="eastAsia" w:ascii="宋体" w:hAnsi="宋体" w:cs="宋体"/>
          <w:sz w:val="21"/>
        </w:rPr>
        <w:t>（</w:t>
      </w:r>
      <w:r>
        <w:rPr>
          <w:rFonts w:hint="eastAsia" w:ascii="宋体" w:hAnsi="宋体" w:cs="宋体"/>
          <w:sz w:val="21"/>
          <w:lang w:val="en-US" w:eastAsia="zh-CN"/>
        </w:rPr>
        <w:t>一</w:t>
      </w:r>
      <w:r>
        <w:rPr>
          <w:rFonts w:hint="eastAsia" w:ascii="宋体" w:hAnsi="宋体" w:cs="宋体"/>
          <w:sz w:val="21"/>
        </w:rPr>
        <w:t>）</w:t>
      </w:r>
      <w:r>
        <w:rPr>
          <w:rFonts w:hint="eastAsia" w:ascii="宋体" w:hAnsi="宋体" w:cs="宋体"/>
          <w:sz w:val="21"/>
          <w:highlight w:val="none"/>
        </w:rPr>
        <w:t>磋商所需携带其他材料</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sz w:val="21"/>
          <w:highlight w:val="none"/>
        </w:rPr>
      </w:pPr>
      <w:r>
        <w:rPr>
          <w:rFonts w:hint="eastAsia" w:ascii="宋体" w:hAnsi="宋体" w:cs="宋体"/>
          <w:sz w:val="21"/>
          <w:highlight w:val="none"/>
          <w:lang w:val="en-US" w:eastAsia="zh-CN"/>
        </w:rPr>
        <w:t>1</w:t>
      </w:r>
      <w:r>
        <w:rPr>
          <w:rFonts w:hint="eastAsia" w:ascii="宋体" w:hAnsi="宋体" w:cs="宋体"/>
          <w:sz w:val="21"/>
          <w:highlight w:val="none"/>
        </w:rPr>
        <w:t>.响应文件。</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sz w:val="21"/>
          <w:highlight w:val="none"/>
        </w:rPr>
      </w:pPr>
      <w:r>
        <w:rPr>
          <w:rFonts w:hint="eastAsia" w:ascii="宋体" w:hAnsi="宋体" w:cs="宋体"/>
          <w:sz w:val="21"/>
          <w:highlight w:val="none"/>
          <w:lang w:val="en-US" w:eastAsia="zh-CN"/>
        </w:rPr>
        <w:t>2</w:t>
      </w:r>
      <w:r>
        <w:rPr>
          <w:rFonts w:hint="eastAsia" w:ascii="宋体" w:hAnsi="宋体" w:cs="宋体"/>
          <w:sz w:val="21"/>
          <w:highlight w:val="none"/>
        </w:rPr>
        <w:t>.响应供应商授权代表身份证明材料。</w:t>
      </w:r>
    </w:p>
    <w:p>
      <w:pPr>
        <w:spacing w:line="360" w:lineRule="auto"/>
        <w:rPr>
          <w:rFonts w:ascii="宋体" w:hAnsi="宋体" w:cs="宋体"/>
          <w:sz w:val="21"/>
          <w:highlight w:val="none"/>
        </w:rPr>
      </w:pPr>
    </w:p>
    <w:p>
      <w:pPr>
        <w:spacing w:line="360" w:lineRule="auto"/>
        <w:rPr>
          <w:rFonts w:ascii="宋体" w:hAnsi="宋体" w:cs="宋体"/>
          <w:bCs/>
          <w:sz w:val="21"/>
          <w:highlight w:val="none"/>
        </w:rPr>
      </w:pPr>
      <w:r>
        <w:rPr>
          <w:rFonts w:hint="eastAsia" w:ascii="宋体" w:hAnsi="宋体" w:cs="宋体"/>
          <w:bCs/>
          <w:sz w:val="21"/>
          <w:highlight w:val="none"/>
        </w:rPr>
        <w:t>八、凡对本次采购提出询问，请按以下方式联系。</w:t>
      </w:r>
    </w:p>
    <w:p>
      <w:pPr>
        <w:spacing w:line="360" w:lineRule="auto"/>
        <w:rPr>
          <w:rFonts w:ascii="宋体" w:hAnsi="宋体" w:cs="宋体"/>
          <w:bCs/>
          <w:sz w:val="21"/>
          <w:highlight w:val="none"/>
        </w:rPr>
      </w:pPr>
      <w:r>
        <w:rPr>
          <w:rFonts w:hint="eastAsia" w:ascii="宋体" w:hAnsi="宋体" w:cs="宋体"/>
          <w:bCs/>
          <w:sz w:val="21"/>
          <w:highlight w:val="none"/>
        </w:rPr>
        <w:t>1.采购人信息</w:t>
      </w:r>
    </w:p>
    <w:p>
      <w:pPr>
        <w:spacing w:line="360" w:lineRule="auto"/>
        <w:rPr>
          <w:rFonts w:hint="eastAsia" w:ascii="宋体" w:hAnsi="宋体" w:eastAsia="宋体" w:cs="宋体"/>
          <w:bCs/>
          <w:color w:val="auto"/>
          <w:sz w:val="21"/>
          <w:highlight w:val="none"/>
          <w:lang w:eastAsia="zh-CN"/>
        </w:rPr>
      </w:pPr>
      <w:r>
        <w:rPr>
          <w:rFonts w:hint="eastAsia" w:ascii="宋体" w:hAnsi="宋体" w:cs="宋体"/>
          <w:bCs/>
          <w:color w:val="auto"/>
          <w:sz w:val="21"/>
          <w:highlight w:val="none"/>
        </w:rPr>
        <w:t>名称：</w:t>
      </w:r>
      <w:r>
        <w:rPr>
          <w:rFonts w:hint="eastAsia" w:ascii="宋体" w:hAnsi="宋体" w:cs="宋体"/>
          <w:bCs/>
          <w:color w:val="auto"/>
          <w:sz w:val="21"/>
          <w:highlight w:val="none"/>
          <w:lang w:eastAsia="zh-CN"/>
        </w:rPr>
        <w:t>上海市宝山区城市运行管理中心</w:t>
      </w:r>
    </w:p>
    <w:p>
      <w:pPr>
        <w:spacing w:line="360" w:lineRule="auto"/>
        <w:rPr>
          <w:rFonts w:hint="default" w:ascii="宋体" w:hAnsi="宋体" w:eastAsia="宋体" w:cs="宋体"/>
          <w:bCs/>
          <w:color w:val="auto"/>
          <w:sz w:val="21"/>
          <w:highlight w:val="none"/>
          <w:lang w:val="en-US" w:eastAsia="zh-CN"/>
        </w:rPr>
      </w:pPr>
      <w:r>
        <w:rPr>
          <w:rFonts w:hint="eastAsia" w:ascii="宋体" w:hAnsi="宋体" w:cs="宋体"/>
          <w:bCs/>
          <w:color w:val="auto"/>
          <w:sz w:val="21"/>
          <w:highlight w:val="none"/>
        </w:rPr>
        <w:t>地址：</w:t>
      </w:r>
      <w:r>
        <w:rPr>
          <w:rFonts w:hint="eastAsia" w:ascii="宋体" w:hAnsi="宋体" w:cs="宋体"/>
          <w:bCs/>
          <w:color w:val="auto"/>
          <w:sz w:val="21"/>
          <w:highlight w:val="none"/>
          <w:lang w:eastAsia="zh-CN"/>
        </w:rPr>
        <w:t>上海市宝山区密山路</w:t>
      </w:r>
      <w:r>
        <w:rPr>
          <w:rFonts w:hint="eastAsia" w:ascii="宋体" w:hAnsi="宋体" w:cs="宋体"/>
          <w:bCs/>
          <w:color w:val="auto"/>
          <w:sz w:val="21"/>
          <w:highlight w:val="none"/>
          <w:lang w:val="en-US" w:eastAsia="zh-CN"/>
        </w:rPr>
        <w:t>4号</w:t>
      </w:r>
    </w:p>
    <w:p>
      <w:pPr>
        <w:spacing w:line="360" w:lineRule="auto"/>
        <w:rPr>
          <w:rFonts w:hint="eastAsia" w:ascii="宋体" w:hAnsi="宋体" w:eastAsia="宋体" w:cs="宋体"/>
          <w:bCs/>
          <w:sz w:val="21"/>
          <w:highlight w:val="none"/>
          <w:lang w:eastAsia="zh-CN"/>
        </w:rPr>
      </w:pPr>
      <w:r>
        <w:rPr>
          <w:rFonts w:hint="eastAsia" w:ascii="宋体" w:hAnsi="宋体" w:cs="宋体"/>
          <w:bCs/>
          <w:sz w:val="21"/>
          <w:highlight w:val="none"/>
        </w:rPr>
        <w:t>联系方式：</w:t>
      </w:r>
      <w:r>
        <w:rPr>
          <w:rFonts w:hint="eastAsia" w:ascii="宋体" w:hAnsi="宋体" w:cs="宋体"/>
          <w:bCs/>
          <w:sz w:val="21"/>
          <w:highlight w:val="none"/>
          <w:lang w:eastAsia="zh-CN"/>
        </w:rPr>
        <w:t>王老师021-56106015</w:t>
      </w:r>
    </w:p>
    <w:p>
      <w:pPr>
        <w:spacing w:line="360" w:lineRule="auto"/>
        <w:rPr>
          <w:rFonts w:ascii="宋体" w:hAnsi="宋体" w:cs="宋体"/>
          <w:bCs/>
          <w:sz w:val="21"/>
          <w:highlight w:val="none"/>
        </w:rPr>
      </w:pPr>
      <w:r>
        <w:rPr>
          <w:rFonts w:hint="eastAsia" w:ascii="宋体" w:hAnsi="宋体" w:cs="宋体"/>
          <w:bCs/>
          <w:sz w:val="21"/>
          <w:highlight w:val="none"/>
        </w:rPr>
        <w:t>2.采购代理机构信息</w:t>
      </w:r>
    </w:p>
    <w:p>
      <w:pPr>
        <w:spacing w:line="360" w:lineRule="auto"/>
        <w:rPr>
          <w:rFonts w:ascii="宋体" w:hAnsi="宋体" w:cs="宋体"/>
          <w:bCs/>
          <w:sz w:val="21"/>
          <w:highlight w:val="none"/>
        </w:rPr>
      </w:pPr>
      <w:r>
        <w:rPr>
          <w:rFonts w:hint="eastAsia" w:ascii="宋体" w:hAnsi="宋体" w:cs="宋体"/>
          <w:bCs/>
          <w:sz w:val="21"/>
          <w:highlight w:val="none"/>
        </w:rPr>
        <w:t>名称：上海申权招标咨询有限公司</w:t>
      </w:r>
    </w:p>
    <w:p>
      <w:pPr>
        <w:spacing w:line="360" w:lineRule="auto"/>
        <w:rPr>
          <w:rFonts w:ascii="宋体" w:hAnsi="宋体" w:cs="宋体"/>
          <w:bCs/>
          <w:sz w:val="21"/>
          <w:highlight w:val="none"/>
        </w:rPr>
      </w:pPr>
      <w:r>
        <w:rPr>
          <w:rFonts w:hint="eastAsia" w:ascii="宋体" w:hAnsi="宋体" w:cs="宋体"/>
          <w:bCs/>
          <w:sz w:val="21"/>
          <w:highlight w:val="none"/>
        </w:rPr>
        <w:t>地址： 上海市杨浦区国霞路458弄2号11楼</w:t>
      </w:r>
    </w:p>
    <w:p>
      <w:pPr>
        <w:spacing w:line="360" w:lineRule="auto"/>
        <w:rPr>
          <w:rFonts w:hint="eastAsia" w:ascii="宋体" w:hAnsi="宋体" w:eastAsia="宋体" w:cs="宋体"/>
          <w:bCs/>
          <w:sz w:val="21"/>
          <w:highlight w:val="none"/>
          <w:lang w:eastAsia="zh-CN"/>
        </w:rPr>
      </w:pPr>
      <w:r>
        <w:rPr>
          <w:rFonts w:hint="eastAsia" w:ascii="宋体" w:hAnsi="宋体" w:cs="宋体"/>
          <w:bCs/>
          <w:sz w:val="21"/>
          <w:highlight w:val="none"/>
        </w:rPr>
        <w:t>联系方式：</w:t>
      </w:r>
      <w:r>
        <w:rPr>
          <w:rFonts w:hint="eastAsia" w:ascii="宋体" w:hAnsi="宋体" w:cs="宋体"/>
          <w:bCs/>
          <w:sz w:val="21"/>
          <w:highlight w:val="none"/>
          <w:lang w:eastAsia="zh-CN"/>
        </w:rPr>
        <w:t>陈希夷、倪姣021-55231987-8022、8036</w:t>
      </w:r>
    </w:p>
    <w:p>
      <w:pPr>
        <w:spacing w:line="360" w:lineRule="auto"/>
        <w:rPr>
          <w:rFonts w:ascii="宋体" w:hAnsi="宋体" w:cs="宋体"/>
          <w:bCs/>
          <w:sz w:val="21"/>
          <w:highlight w:val="none"/>
        </w:rPr>
      </w:pPr>
      <w:r>
        <w:rPr>
          <w:rFonts w:hint="eastAsia" w:ascii="宋体" w:hAnsi="宋体" w:cs="宋体"/>
          <w:bCs/>
          <w:sz w:val="21"/>
          <w:highlight w:val="none"/>
        </w:rPr>
        <w:t>3.项目联系方式</w:t>
      </w:r>
    </w:p>
    <w:p>
      <w:pPr>
        <w:spacing w:line="360" w:lineRule="auto"/>
        <w:rPr>
          <w:rFonts w:hint="eastAsia" w:ascii="宋体" w:hAnsi="宋体" w:eastAsia="宋体" w:cs="宋体"/>
          <w:bCs/>
          <w:sz w:val="21"/>
          <w:highlight w:val="none"/>
          <w:lang w:eastAsia="zh-CN"/>
        </w:rPr>
      </w:pPr>
      <w:r>
        <w:rPr>
          <w:rFonts w:hint="eastAsia" w:ascii="宋体" w:hAnsi="宋体" w:cs="宋体"/>
          <w:bCs/>
          <w:sz w:val="21"/>
          <w:highlight w:val="none"/>
        </w:rPr>
        <w:t>项目联系人：</w:t>
      </w:r>
      <w:r>
        <w:rPr>
          <w:rFonts w:hint="eastAsia" w:ascii="宋体" w:hAnsi="宋体" w:cs="宋体"/>
          <w:bCs/>
          <w:sz w:val="21"/>
          <w:highlight w:val="none"/>
          <w:lang w:eastAsia="zh-CN"/>
        </w:rPr>
        <w:t>陈希夷、倪姣</w:t>
      </w:r>
    </w:p>
    <w:p>
      <w:pPr>
        <w:spacing w:line="360" w:lineRule="auto"/>
        <w:rPr>
          <w:rFonts w:hint="eastAsia" w:ascii="宋体" w:hAnsi="宋体" w:eastAsia="宋体" w:cs="宋体"/>
          <w:bCs/>
          <w:sz w:val="21"/>
          <w:highlight w:val="none"/>
          <w:lang w:eastAsia="zh-CN"/>
        </w:rPr>
        <w:sectPr>
          <w:footerReference r:id="rId7" w:type="first"/>
          <w:footerReference r:id="rId6" w:type="default"/>
          <w:pgSz w:w="11906" w:h="16838"/>
          <w:pgMar w:top="1440" w:right="1800" w:bottom="1440" w:left="1800" w:header="851" w:footer="992" w:gutter="0"/>
          <w:pgNumType w:fmt="decimal" w:start="1"/>
          <w:cols w:space="720" w:num="1"/>
          <w:titlePg/>
          <w:docGrid w:type="lines" w:linePitch="326" w:charSpace="0"/>
        </w:sectPr>
      </w:pPr>
      <w:r>
        <w:rPr>
          <w:rFonts w:hint="eastAsia" w:ascii="宋体" w:hAnsi="宋体" w:cs="宋体"/>
          <w:bCs/>
          <w:sz w:val="21"/>
          <w:highlight w:val="none"/>
        </w:rPr>
        <w:t>电话：</w:t>
      </w:r>
      <w:r>
        <w:rPr>
          <w:rFonts w:hint="eastAsia" w:ascii="宋体" w:hAnsi="宋体" w:cs="宋体"/>
          <w:bCs/>
          <w:sz w:val="21"/>
          <w:highlight w:val="none"/>
          <w:lang w:eastAsia="zh-CN"/>
        </w:rPr>
        <w:t>021-55231987-8022、8036</w:t>
      </w:r>
    </w:p>
    <w:p>
      <w:pPr>
        <w:numPr>
          <w:ilvl w:val="0"/>
          <w:numId w:val="5"/>
        </w:numPr>
        <w:adjustRightInd w:val="0"/>
        <w:snapToGrid w:val="0"/>
        <w:spacing w:line="360" w:lineRule="auto"/>
        <w:jc w:val="center"/>
        <w:outlineLvl w:val="0"/>
        <w:rPr>
          <w:rFonts w:ascii="宋体" w:hAnsi="宋体"/>
          <w:b/>
          <w:sz w:val="32"/>
          <w:highlight w:val="none"/>
        </w:rPr>
      </w:pPr>
      <w:bookmarkStart w:id="0" w:name="_Toc12513"/>
      <w:r>
        <w:rPr>
          <w:rFonts w:hint="eastAsia" w:ascii="宋体" w:hAnsi="宋体"/>
          <w:b/>
          <w:sz w:val="32"/>
          <w:highlight w:val="none"/>
        </w:rPr>
        <w:t>前附表</w:t>
      </w:r>
      <w:bookmarkEnd w:id="0"/>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7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960" w:type="dxa"/>
            <w:vAlign w:val="center"/>
          </w:tcPr>
          <w:p>
            <w:pPr>
              <w:adjustRightInd w:val="0"/>
              <w:spacing w:line="360" w:lineRule="auto"/>
              <w:jc w:val="center"/>
              <w:rPr>
                <w:rFonts w:ascii="宋体" w:hAnsi="宋体"/>
                <w:spacing w:val="-20"/>
                <w:sz w:val="21"/>
                <w:highlight w:val="none"/>
              </w:rPr>
            </w:pPr>
            <w:r>
              <w:rPr>
                <w:rFonts w:hint="eastAsia" w:ascii="宋体" w:hAnsi="宋体"/>
                <w:spacing w:val="-20"/>
                <w:sz w:val="21"/>
                <w:highlight w:val="none"/>
              </w:rPr>
              <w:t>序  号</w:t>
            </w:r>
          </w:p>
        </w:tc>
        <w:tc>
          <w:tcPr>
            <w:tcW w:w="7562" w:type="dxa"/>
            <w:vAlign w:val="center"/>
          </w:tcPr>
          <w:p>
            <w:pPr>
              <w:adjustRightInd w:val="0"/>
              <w:spacing w:line="360" w:lineRule="auto"/>
              <w:jc w:val="center"/>
              <w:rPr>
                <w:rFonts w:ascii="宋体" w:hAnsi="宋体"/>
                <w:sz w:val="21"/>
                <w:highlight w:val="none"/>
              </w:rPr>
            </w:pPr>
            <w:r>
              <w:rPr>
                <w:rFonts w:hint="eastAsia" w:ascii="宋体" w:hAnsi="宋体"/>
                <w:sz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960" w:type="dxa"/>
            <w:vAlign w:val="center"/>
          </w:tcPr>
          <w:p>
            <w:pPr>
              <w:numPr>
                <w:ilvl w:val="0"/>
                <w:numId w:val="6"/>
              </w:numPr>
              <w:adjustRightInd w:val="0"/>
              <w:spacing w:line="360" w:lineRule="auto"/>
              <w:jc w:val="center"/>
              <w:rPr>
                <w:rFonts w:ascii="宋体" w:hAnsi="宋体"/>
                <w:sz w:val="21"/>
                <w:highlight w:val="none"/>
              </w:rPr>
            </w:pPr>
          </w:p>
        </w:tc>
        <w:tc>
          <w:tcPr>
            <w:tcW w:w="7562" w:type="dxa"/>
            <w:vAlign w:val="center"/>
          </w:tcPr>
          <w:p>
            <w:pPr>
              <w:adjustRightInd w:val="0"/>
              <w:spacing w:line="360" w:lineRule="auto"/>
              <w:jc w:val="left"/>
              <w:rPr>
                <w:rFonts w:hint="eastAsia" w:ascii="宋体" w:hAnsi="宋体" w:eastAsia="宋体"/>
                <w:sz w:val="21"/>
                <w:highlight w:val="none"/>
                <w:lang w:eastAsia="zh-CN"/>
              </w:rPr>
            </w:pPr>
            <w:r>
              <w:rPr>
                <w:rFonts w:hint="eastAsia" w:ascii="宋体" w:hAnsi="宋体"/>
                <w:sz w:val="21"/>
                <w:highlight w:val="none"/>
              </w:rPr>
              <w:t>项目名称：</w:t>
            </w:r>
            <w:r>
              <w:rPr>
                <w:rFonts w:hint="eastAsia" w:ascii="宋体" w:hAnsi="宋体"/>
                <w:sz w:val="21"/>
                <w:highlight w:val="none"/>
                <w:lang w:eastAsia="zh-CN"/>
              </w:rPr>
              <w:t>2023年城市网格化综合管理信息系统分平台维护</w:t>
            </w:r>
          </w:p>
          <w:p>
            <w:pPr>
              <w:adjustRightInd w:val="0"/>
              <w:spacing w:line="360" w:lineRule="auto"/>
              <w:jc w:val="left"/>
              <w:rPr>
                <w:rFonts w:hint="eastAsia" w:ascii="宋体" w:hAnsi="宋体" w:eastAsia="宋体"/>
                <w:sz w:val="21"/>
                <w:highlight w:val="none"/>
                <w:lang w:eastAsia="zh-CN"/>
              </w:rPr>
            </w:pPr>
            <w:r>
              <w:rPr>
                <w:rFonts w:hint="eastAsia" w:ascii="宋体" w:hAnsi="宋体"/>
                <w:sz w:val="21"/>
                <w:highlight w:val="none"/>
              </w:rPr>
              <w:t>项目编号：</w:t>
            </w:r>
            <w:r>
              <w:rPr>
                <w:rFonts w:hint="eastAsia" w:ascii="宋体" w:hAnsi="宋体"/>
                <w:sz w:val="21"/>
                <w:highlight w:val="none"/>
                <w:lang w:eastAsia="zh-CN"/>
              </w:rPr>
              <w:t>SQ23-0682</w:t>
            </w:r>
          </w:p>
          <w:p>
            <w:pPr>
              <w:adjustRightInd w:val="0"/>
              <w:spacing w:line="360" w:lineRule="auto"/>
              <w:jc w:val="left"/>
              <w:rPr>
                <w:rFonts w:hint="eastAsia" w:ascii="宋体" w:hAnsi="宋体"/>
                <w:sz w:val="21"/>
                <w:highlight w:val="none"/>
              </w:rPr>
            </w:pPr>
            <w:r>
              <w:rPr>
                <w:rFonts w:hint="eastAsia" w:ascii="宋体" w:hAnsi="宋体"/>
                <w:sz w:val="21"/>
                <w:highlight w:val="none"/>
              </w:rPr>
              <w:t>采购预算：</w:t>
            </w:r>
            <w:r>
              <w:rPr>
                <w:rFonts w:hint="eastAsia" w:ascii="宋体" w:hAnsi="宋体"/>
                <w:sz w:val="21"/>
                <w:highlight w:val="none"/>
                <w:lang w:val="en-US" w:eastAsia="zh-CN"/>
              </w:rPr>
              <w:t>450,000.00</w:t>
            </w:r>
            <w:r>
              <w:rPr>
                <w:rFonts w:hint="eastAsia" w:ascii="宋体" w:hAnsi="宋体"/>
                <w:sz w:val="21"/>
                <w:highlight w:val="none"/>
              </w:rPr>
              <w:t>元</w:t>
            </w:r>
          </w:p>
          <w:p>
            <w:pPr>
              <w:adjustRightInd w:val="0"/>
              <w:spacing w:line="360" w:lineRule="auto"/>
              <w:jc w:val="left"/>
              <w:rPr>
                <w:rFonts w:hint="eastAsia" w:ascii="宋体" w:hAnsi="宋体" w:eastAsia="宋体"/>
                <w:sz w:val="21"/>
                <w:highlight w:val="none"/>
                <w:lang w:eastAsia="zh-CN"/>
              </w:rPr>
            </w:pPr>
            <w:r>
              <w:rPr>
                <w:rFonts w:hint="eastAsia" w:ascii="宋体" w:hAnsi="宋体" w:cs="宋体"/>
                <w:sz w:val="21"/>
                <w:highlight w:val="none"/>
                <w:lang w:eastAsia="zh-CN"/>
              </w:rPr>
              <w:t>不接受一切超过预算或最高限价的报价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0" w:type="dxa"/>
            <w:vAlign w:val="center"/>
          </w:tcPr>
          <w:p>
            <w:pPr>
              <w:numPr>
                <w:ilvl w:val="0"/>
                <w:numId w:val="6"/>
              </w:numPr>
              <w:adjustRightInd w:val="0"/>
              <w:spacing w:line="360" w:lineRule="auto"/>
              <w:jc w:val="center"/>
              <w:rPr>
                <w:rFonts w:ascii="宋体" w:hAnsi="宋体"/>
                <w:color w:val="auto"/>
                <w:sz w:val="21"/>
                <w:highlight w:val="none"/>
              </w:rPr>
            </w:pPr>
          </w:p>
        </w:tc>
        <w:tc>
          <w:tcPr>
            <w:tcW w:w="7562" w:type="dxa"/>
            <w:vAlign w:val="center"/>
          </w:tcPr>
          <w:p>
            <w:pPr>
              <w:adjustRightInd w:val="0"/>
              <w:spacing w:line="360" w:lineRule="auto"/>
              <w:rPr>
                <w:rFonts w:hint="eastAsia" w:ascii="宋体" w:hAnsi="宋体" w:eastAsia="宋体"/>
                <w:color w:val="auto"/>
                <w:sz w:val="21"/>
                <w:highlight w:val="none"/>
                <w:lang w:eastAsia="zh-CN"/>
              </w:rPr>
            </w:pPr>
            <w:r>
              <w:rPr>
                <w:rFonts w:hint="eastAsia" w:ascii="宋体" w:hAnsi="宋体"/>
                <w:color w:val="auto"/>
                <w:sz w:val="21"/>
                <w:highlight w:val="none"/>
              </w:rPr>
              <w:t>采购人：</w:t>
            </w:r>
            <w:r>
              <w:rPr>
                <w:rFonts w:hint="eastAsia" w:ascii="宋体" w:hAnsi="宋体"/>
                <w:color w:val="auto"/>
                <w:sz w:val="21"/>
                <w:highlight w:val="none"/>
                <w:lang w:eastAsia="zh-CN"/>
              </w:rPr>
              <w:t>上海市宝山区城市运行管理中心</w:t>
            </w:r>
          </w:p>
          <w:p>
            <w:pPr>
              <w:adjustRightInd w:val="0"/>
              <w:spacing w:line="360" w:lineRule="auto"/>
              <w:rPr>
                <w:rFonts w:hint="default" w:ascii="宋体" w:hAnsi="宋体" w:eastAsia="宋体"/>
                <w:color w:val="auto"/>
                <w:sz w:val="21"/>
                <w:highlight w:val="none"/>
                <w:lang w:val="en-US" w:eastAsia="zh-CN"/>
              </w:rPr>
            </w:pPr>
            <w:r>
              <w:rPr>
                <w:rFonts w:hint="eastAsia" w:ascii="宋体" w:hAnsi="宋体"/>
                <w:color w:val="auto"/>
                <w:sz w:val="21"/>
                <w:highlight w:val="none"/>
              </w:rPr>
              <w:t>地址：</w:t>
            </w:r>
            <w:r>
              <w:rPr>
                <w:rFonts w:hint="eastAsia" w:ascii="宋体" w:hAnsi="宋体"/>
                <w:color w:val="auto"/>
                <w:sz w:val="21"/>
                <w:highlight w:val="none"/>
                <w:lang w:eastAsia="zh-CN"/>
              </w:rPr>
              <w:t>上海市宝山区密山路</w:t>
            </w:r>
            <w:r>
              <w:rPr>
                <w:rFonts w:hint="eastAsia" w:ascii="宋体" w:hAnsi="宋体"/>
                <w:color w:val="auto"/>
                <w:sz w:val="21"/>
                <w:highlight w:val="none"/>
                <w:lang w:val="en-US" w:eastAsia="zh-CN"/>
              </w:rPr>
              <w:t>4号</w:t>
            </w:r>
          </w:p>
          <w:p>
            <w:pPr>
              <w:adjustRightInd w:val="0"/>
              <w:spacing w:line="360" w:lineRule="auto"/>
              <w:rPr>
                <w:rFonts w:ascii="宋体" w:hAnsi="宋体"/>
                <w:color w:val="auto"/>
                <w:sz w:val="21"/>
                <w:highlight w:val="none"/>
              </w:rPr>
            </w:pPr>
            <w:r>
              <w:rPr>
                <w:rFonts w:hint="eastAsia" w:ascii="宋体" w:hAnsi="宋体"/>
                <w:color w:val="auto"/>
                <w:sz w:val="21"/>
                <w:highlight w:val="none"/>
              </w:rPr>
              <w:t>联系人：</w:t>
            </w:r>
            <w:r>
              <w:rPr>
                <w:rFonts w:hint="eastAsia" w:ascii="宋体" w:hAnsi="宋体"/>
                <w:color w:val="auto"/>
                <w:sz w:val="21"/>
                <w:highlight w:val="none"/>
                <w:lang w:val="en-US" w:eastAsia="zh-CN"/>
              </w:rPr>
              <w:t>王老师</w:t>
            </w:r>
          </w:p>
          <w:p>
            <w:pPr>
              <w:adjustRightInd w:val="0"/>
              <w:spacing w:line="360" w:lineRule="auto"/>
              <w:rPr>
                <w:rFonts w:ascii="宋体" w:hAnsi="宋体"/>
                <w:color w:val="auto"/>
                <w:sz w:val="21"/>
                <w:highlight w:val="none"/>
              </w:rPr>
            </w:pPr>
            <w:r>
              <w:rPr>
                <w:rFonts w:hint="eastAsia" w:ascii="宋体" w:hAnsi="宋体"/>
                <w:color w:val="auto"/>
                <w:sz w:val="21"/>
                <w:highlight w:val="none"/>
              </w:rPr>
              <w:t>联系方式：</w:t>
            </w:r>
            <w:r>
              <w:rPr>
                <w:rFonts w:hint="eastAsia" w:ascii="宋体" w:hAnsi="宋体" w:cs="宋体"/>
                <w:bCs/>
                <w:color w:val="auto"/>
                <w:sz w:val="21"/>
                <w:highlight w:val="none"/>
                <w:lang w:eastAsia="zh-CN"/>
              </w:rPr>
              <w:t>021-56106015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960" w:type="dxa"/>
            <w:vAlign w:val="center"/>
          </w:tcPr>
          <w:p>
            <w:pPr>
              <w:numPr>
                <w:ilvl w:val="0"/>
                <w:numId w:val="6"/>
              </w:numPr>
              <w:adjustRightInd w:val="0"/>
              <w:spacing w:line="360" w:lineRule="auto"/>
              <w:jc w:val="center"/>
              <w:rPr>
                <w:rFonts w:ascii="宋体" w:hAnsi="宋体"/>
                <w:sz w:val="21"/>
                <w:highlight w:val="none"/>
              </w:rPr>
            </w:pPr>
          </w:p>
        </w:tc>
        <w:tc>
          <w:tcPr>
            <w:tcW w:w="7562" w:type="dxa"/>
            <w:vAlign w:val="center"/>
          </w:tcPr>
          <w:p>
            <w:pPr>
              <w:adjustRightInd w:val="0"/>
              <w:spacing w:line="360" w:lineRule="auto"/>
              <w:rPr>
                <w:rFonts w:ascii="宋体" w:hAnsi="宋体"/>
                <w:sz w:val="21"/>
                <w:highlight w:val="none"/>
              </w:rPr>
            </w:pPr>
            <w:r>
              <w:rPr>
                <w:rFonts w:hint="eastAsia" w:ascii="宋体" w:hAnsi="宋体"/>
                <w:sz w:val="21"/>
                <w:highlight w:val="none"/>
              </w:rPr>
              <w:t>采购代理机构：上海申权</w:t>
            </w:r>
            <w:r>
              <w:rPr>
                <w:rFonts w:ascii="宋体" w:hAnsi="宋体"/>
                <w:sz w:val="21"/>
                <w:highlight w:val="none"/>
              </w:rPr>
              <w:t>招标咨询有限公司</w:t>
            </w:r>
          </w:p>
          <w:p>
            <w:pPr>
              <w:adjustRightInd w:val="0"/>
              <w:spacing w:line="360" w:lineRule="auto"/>
              <w:rPr>
                <w:rFonts w:ascii="宋体" w:hAnsi="宋体"/>
                <w:sz w:val="21"/>
                <w:highlight w:val="none"/>
              </w:rPr>
            </w:pPr>
            <w:r>
              <w:rPr>
                <w:rFonts w:hint="eastAsia" w:ascii="宋体" w:hAnsi="宋体"/>
                <w:sz w:val="21"/>
                <w:highlight w:val="none"/>
              </w:rPr>
              <w:t>地址：上海市杨浦区国霞路458弄2号11楼</w:t>
            </w:r>
          </w:p>
          <w:p>
            <w:pPr>
              <w:adjustRightInd w:val="0"/>
              <w:spacing w:line="360" w:lineRule="auto"/>
              <w:rPr>
                <w:rFonts w:hint="eastAsia" w:ascii="宋体" w:hAnsi="宋体" w:eastAsia="宋体"/>
                <w:sz w:val="21"/>
                <w:highlight w:val="none"/>
                <w:lang w:eastAsia="zh-CN"/>
              </w:rPr>
            </w:pPr>
            <w:r>
              <w:rPr>
                <w:rFonts w:hint="eastAsia" w:ascii="宋体" w:hAnsi="宋体"/>
                <w:sz w:val="21"/>
                <w:highlight w:val="none"/>
              </w:rPr>
              <w:t>联系人：</w:t>
            </w:r>
            <w:r>
              <w:rPr>
                <w:rFonts w:hint="eastAsia" w:ascii="宋体" w:hAnsi="宋体"/>
                <w:sz w:val="21"/>
                <w:highlight w:val="none"/>
                <w:lang w:eastAsia="zh-CN"/>
              </w:rPr>
              <w:t>陈希夷、倪姣</w:t>
            </w:r>
          </w:p>
          <w:p>
            <w:pPr>
              <w:adjustRightInd w:val="0"/>
              <w:spacing w:line="360" w:lineRule="auto"/>
              <w:rPr>
                <w:rFonts w:hint="eastAsia" w:ascii="宋体" w:hAnsi="宋体" w:eastAsia="宋体"/>
                <w:sz w:val="21"/>
                <w:highlight w:val="none"/>
                <w:lang w:eastAsia="zh-CN"/>
              </w:rPr>
            </w:pPr>
            <w:r>
              <w:rPr>
                <w:rFonts w:hint="eastAsia" w:ascii="宋体" w:hAnsi="宋体"/>
                <w:sz w:val="21"/>
                <w:highlight w:val="none"/>
              </w:rPr>
              <w:t>联系方式：</w:t>
            </w:r>
            <w:r>
              <w:rPr>
                <w:rFonts w:hint="eastAsia" w:ascii="宋体" w:hAnsi="宋体"/>
                <w:sz w:val="21"/>
                <w:highlight w:val="none"/>
                <w:lang w:eastAsia="zh-CN"/>
              </w:rPr>
              <w:t>021-55231987-8022、8036</w:t>
            </w:r>
          </w:p>
          <w:p>
            <w:pPr>
              <w:adjustRightInd w:val="0"/>
              <w:spacing w:line="360" w:lineRule="auto"/>
              <w:rPr>
                <w:rFonts w:ascii="宋体" w:hAnsi="宋体"/>
                <w:sz w:val="21"/>
                <w:highlight w:val="none"/>
              </w:rPr>
            </w:pPr>
            <w:r>
              <w:rPr>
                <w:rFonts w:hint="eastAsia" w:ascii="宋体" w:hAnsi="宋体"/>
                <w:sz w:val="21"/>
                <w:highlight w:val="none"/>
              </w:rPr>
              <w:t>邮政编码：</w:t>
            </w:r>
            <w:r>
              <w:rPr>
                <w:rFonts w:ascii="宋体" w:hAnsi="宋体"/>
                <w:sz w:val="21"/>
                <w:highlight w:val="none"/>
              </w:rPr>
              <w:t>200</w:t>
            </w:r>
            <w:r>
              <w:rPr>
                <w:rFonts w:hint="eastAsia" w:ascii="宋体" w:hAnsi="宋体"/>
                <w:sz w:val="21"/>
                <w:highlight w:val="none"/>
              </w:rPr>
              <w:t>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60" w:type="dxa"/>
            <w:vAlign w:val="center"/>
          </w:tcPr>
          <w:p>
            <w:pPr>
              <w:numPr>
                <w:ilvl w:val="0"/>
                <w:numId w:val="6"/>
              </w:numPr>
              <w:adjustRightInd w:val="0"/>
              <w:spacing w:line="360" w:lineRule="auto"/>
              <w:jc w:val="center"/>
              <w:rPr>
                <w:rFonts w:ascii="宋体" w:hAnsi="宋体"/>
                <w:sz w:val="21"/>
                <w:highlight w:val="none"/>
              </w:rPr>
            </w:pPr>
          </w:p>
        </w:tc>
        <w:tc>
          <w:tcPr>
            <w:tcW w:w="7562" w:type="dxa"/>
            <w:vAlign w:val="center"/>
          </w:tcPr>
          <w:p>
            <w:pPr>
              <w:keepNext w:val="0"/>
              <w:keepLines w:val="0"/>
              <w:pageBreakBefore w:val="0"/>
              <w:widowControl w:val="0"/>
              <w:kinsoku/>
              <w:wordWrap w:val="0"/>
              <w:overflowPunct/>
              <w:topLinePunct w:val="0"/>
              <w:autoSpaceDE/>
              <w:autoSpaceDN/>
              <w:bidi w:val="0"/>
              <w:adjustRightInd w:val="0"/>
              <w:snapToGrid/>
              <w:spacing w:line="360" w:lineRule="auto"/>
              <w:jc w:val="left"/>
              <w:textAlignment w:val="auto"/>
              <w:rPr>
                <w:rFonts w:ascii="宋体" w:hAnsi="宋体"/>
                <w:sz w:val="21"/>
                <w:highlight w:val="none"/>
              </w:rPr>
            </w:pPr>
            <w:r>
              <w:rPr>
                <w:rFonts w:hint="eastAsia" w:ascii="宋体" w:hAnsi="宋体"/>
                <w:sz w:val="21"/>
                <w:highlight w:val="none"/>
              </w:rPr>
              <w:t>响应供应商对磋商文件如有疑问，</w:t>
            </w:r>
            <w:r>
              <w:rPr>
                <w:rFonts w:hint="eastAsia" w:ascii="宋体" w:hAnsi="宋体"/>
                <w:sz w:val="21"/>
                <w:highlight w:val="none"/>
                <w:lang w:val="en-US" w:eastAsia="zh-CN"/>
              </w:rPr>
              <w:t>可以提出询问</w:t>
            </w:r>
            <w:r>
              <w:rPr>
                <w:rFonts w:hint="eastAsia" w:ascii="宋体" w:hAnsi="宋体"/>
                <w:sz w:val="21"/>
                <w:highlight w:val="none"/>
              </w:rPr>
              <w:t>。</w:t>
            </w:r>
          </w:p>
          <w:p>
            <w:pPr>
              <w:keepNext w:val="0"/>
              <w:keepLines w:val="0"/>
              <w:pageBreakBefore w:val="0"/>
              <w:widowControl w:val="0"/>
              <w:kinsoku/>
              <w:wordWrap w:val="0"/>
              <w:overflowPunct/>
              <w:topLinePunct w:val="0"/>
              <w:autoSpaceDE/>
              <w:autoSpaceDN/>
              <w:bidi w:val="0"/>
              <w:adjustRightInd w:val="0"/>
              <w:snapToGrid/>
              <w:spacing w:line="360" w:lineRule="auto"/>
              <w:jc w:val="left"/>
              <w:textAlignment w:val="auto"/>
              <w:rPr>
                <w:rFonts w:ascii="宋体" w:hAnsi="宋体"/>
                <w:sz w:val="21"/>
                <w:highlight w:val="none"/>
              </w:rPr>
            </w:pPr>
            <w:r>
              <w:rPr>
                <w:rFonts w:hint="eastAsia" w:ascii="宋体" w:hAnsi="宋体"/>
                <w:sz w:val="21"/>
                <w:highlight w:val="none"/>
              </w:rPr>
              <w:t>请于</w:t>
            </w:r>
            <w:r>
              <w:rPr>
                <w:rFonts w:hint="eastAsia" w:ascii="宋体" w:hAnsi="宋体"/>
                <w:b/>
                <w:bCs/>
                <w:sz w:val="21"/>
                <w:highlight w:val="none"/>
                <w:u w:val="single"/>
                <w:lang w:eastAsia="zh-CN"/>
              </w:rPr>
              <w:t>2023年</w:t>
            </w:r>
            <w:r>
              <w:rPr>
                <w:rFonts w:hint="eastAsia" w:ascii="宋体" w:hAnsi="宋体"/>
                <w:b/>
                <w:bCs/>
                <w:sz w:val="21"/>
                <w:highlight w:val="none"/>
                <w:u w:val="single"/>
                <w:lang w:val="en-US" w:eastAsia="zh-CN"/>
              </w:rPr>
              <w:t>10</w:t>
            </w:r>
            <w:r>
              <w:rPr>
                <w:rFonts w:hint="eastAsia" w:ascii="宋体" w:hAnsi="宋体"/>
                <w:b/>
                <w:bCs/>
                <w:sz w:val="21"/>
                <w:highlight w:val="none"/>
                <w:u w:val="single"/>
                <w:lang w:eastAsia="zh-CN"/>
              </w:rPr>
              <w:t>月</w:t>
            </w:r>
            <w:r>
              <w:rPr>
                <w:rFonts w:hint="eastAsia" w:ascii="宋体" w:hAnsi="宋体"/>
                <w:b/>
                <w:bCs/>
                <w:sz w:val="21"/>
                <w:highlight w:val="none"/>
                <w:u w:val="single"/>
                <w:lang w:val="en-US" w:eastAsia="zh-CN"/>
              </w:rPr>
              <w:t>13</w:t>
            </w:r>
            <w:r>
              <w:rPr>
                <w:rFonts w:hint="eastAsia" w:ascii="宋体" w:hAnsi="宋体"/>
                <w:b/>
                <w:bCs/>
                <w:sz w:val="21"/>
                <w:highlight w:val="none"/>
                <w:u w:val="single"/>
                <w:lang w:eastAsia="zh-CN"/>
              </w:rPr>
              <w:t>日14:00</w:t>
            </w:r>
            <w:r>
              <w:rPr>
                <w:rFonts w:hint="eastAsia" w:ascii="宋体" w:hAnsi="宋体"/>
                <w:sz w:val="21"/>
                <w:highlight w:val="none"/>
              </w:rPr>
              <w:t>与采购代理机构联系（联系人：</w:t>
            </w:r>
            <w:r>
              <w:rPr>
                <w:rFonts w:hint="eastAsia" w:ascii="宋体" w:hAnsi="宋体"/>
                <w:sz w:val="21"/>
                <w:highlight w:val="none"/>
                <w:lang w:eastAsia="zh-CN"/>
              </w:rPr>
              <w:t>陈希夷、倪姣</w:t>
            </w:r>
            <w:r>
              <w:rPr>
                <w:rFonts w:hint="eastAsia" w:ascii="宋体" w:hAnsi="宋体"/>
                <w:sz w:val="21"/>
                <w:highlight w:val="none"/>
              </w:rPr>
              <w:t>；电话：</w:t>
            </w:r>
            <w:r>
              <w:rPr>
                <w:rFonts w:hint="eastAsia" w:ascii="宋体" w:hAnsi="宋体"/>
                <w:sz w:val="21"/>
                <w:highlight w:val="none"/>
                <w:lang w:eastAsia="zh-CN"/>
              </w:rPr>
              <w:t>021-55231987-8022、8036</w:t>
            </w:r>
            <w:r>
              <w:rPr>
                <w:rFonts w:hint="eastAsia" w:ascii="宋体" w:hAnsi="宋体"/>
                <w:sz w:val="21"/>
                <w:highlight w:val="none"/>
              </w:rPr>
              <w:t>；传真：</w:t>
            </w:r>
            <w:r>
              <w:rPr>
                <w:rFonts w:hint="eastAsia" w:ascii="宋体" w:hAnsi="宋体"/>
                <w:sz w:val="21"/>
                <w:highlight w:val="none"/>
                <w:lang w:eastAsia="zh-CN"/>
              </w:rPr>
              <w:t>021-55135217</w:t>
            </w:r>
            <w:r>
              <w:rPr>
                <w:rFonts w:hint="eastAsia" w:ascii="宋体" w:hAnsi="宋体"/>
                <w:sz w:val="21"/>
                <w:highlight w:val="none"/>
              </w:rPr>
              <w:t>；邮箱：sqzhaobiao@sina.com），对磋商文件中所提的有关疑问请以书面或传真形式递送到，采购代理机构将视情况确定采用适当方式予以澄清或以书面形式予以答复。并在其认为必要时，将不标明查询来源的书面答复发给已领取磋商文件的每一响应供应商。如有需要，采购代理机构将安排召开答疑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60" w:type="dxa"/>
            <w:vAlign w:val="center"/>
          </w:tcPr>
          <w:p>
            <w:pPr>
              <w:numPr>
                <w:ilvl w:val="0"/>
                <w:numId w:val="6"/>
              </w:numPr>
              <w:adjustRightInd w:val="0"/>
              <w:spacing w:line="360" w:lineRule="auto"/>
              <w:jc w:val="center"/>
              <w:rPr>
                <w:rFonts w:ascii="宋体" w:hAnsi="宋体"/>
                <w:sz w:val="21"/>
                <w:highlight w:val="none"/>
              </w:rPr>
            </w:pPr>
          </w:p>
        </w:tc>
        <w:tc>
          <w:tcPr>
            <w:tcW w:w="7562" w:type="dxa"/>
            <w:vAlign w:val="center"/>
          </w:tcPr>
          <w:p>
            <w:pPr>
              <w:adjustRightInd w:val="0"/>
              <w:spacing w:line="360" w:lineRule="auto"/>
              <w:rPr>
                <w:rFonts w:hint="eastAsia" w:ascii="宋体" w:hAnsi="宋体" w:eastAsia="宋体"/>
                <w:sz w:val="21"/>
                <w:highlight w:val="none"/>
                <w:lang w:eastAsia="zh-CN"/>
              </w:rPr>
            </w:pPr>
            <w:r>
              <w:rPr>
                <w:rFonts w:hint="eastAsia" w:ascii="宋体" w:hAnsi="宋体"/>
                <w:sz w:val="21"/>
                <w:highlight w:val="none"/>
              </w:rPr>
              <w:t>磋商保证金金额：</w:t>
            </w:r>
            <w:r>
              <w:rPr>
                <w:rFonts w:hint="eastAsia" w:ascii="宋体" w:hAnsi="宋体"/>
                <w:b/>
                <w:sz w:val="21"/>
                <w:highlight w:val="none"/>
                <w:lang w:eastAsia="zh-CN"/>
              </w:rPr>
              <w:t>人民币7000元</w:t>
            </w:r>
          </w:p>
          <w:p>
            <w:pPr>
              <w:adjustRightInd w:val="0"/>
              <w:spacing w:line="360" w:lineRule="auto"/>
              <w:rPr>
                <w:rFonts w:hint="eastAsia" w:ascii="宋体" w:hAnsi="宋体" w:eastAsia="宋体"/>
                <w:sz w:val="21"/>
                <w:highlight w:val="none"/>
                <w:lang w:eastAsia="zh-CN"/>
              </w:rPr>
            </w:pPr>
            <w:r>
              <w:rPr>
                <w:rFonts w:hint="eastAsia" w:ascii="宋体" w:hAnsi="宋体"/>
                <w:sz w:val="21"/>
                <w:highlight w:val="none"/>
              </w:rPr>
              <w:t>支付方式：</w:t>
            </w:r>
            <w:r>
              <w:rPr>
                <w:rFonts w:hint="eastAsia" w:ascii="宋体" w:hAnsi="宋体"/>
                <w:sz w:val="21"/>
                <w:highlight w:val="none"/>
                <w:lang w:eastAsia="zh-CN"/>
              </w:rPr>
              <w:t>汇款、转账或支票等非现金形式</w:t>
            </w:r>
          </w:p>
          <w:p>
            <w:pPr>
              <w:adjustRightInd w:val="0"/>
              <w:spacing w:line="360" w:lineRule="auto"/>
              <w:rPr>
                <w:rFonts w:ascii="宋体" w:hAnsi="宋体"/>
                <w:sz w:val="21"/>
                <w:highlight w:val="none"/>
              </w:rPr>
            </w:pPr>
            <w:r>
              <w:rPr>
                <w:rFonts w:hint="eastAsia" w:ascii="宋体" w:hAnsi="宋体"/>
                <w:spacing w:val="30"/>
                <w:sz w:val="21"/>
                <w:highlight w:val="none"/>
              </w:rPr>
              <w:t>开户行</w:t>
            </w:r>
            <w:r>
              <w:rPr>
                <w:rFonts w:hint="eastAsia" w:ascii="宋体" w:hAnsi="宋体"/>
                <w:sz w:val="21"/>
                <w:highlight w:val="none"/>
              </w:rPr>
              <w:t>：中国建设银行股份有限公司上海五角场支行</w:t>
            </w:r>
          </w:p>
          <w:p>
            <w:pPr>
              <w:adjustRightInd w:val="0"/>
              <w:spacing w:line="360" w:lineRule="auto"/>
              <w:rPr>
                <w:rFonts w:ascii="宋体" w:hAnsi="宋体"/>
                <w:sz w:val="21"/>
                <w:highlight w:val="none"/>
              </w:rPr>
            </w:pPr>
            <w:r>
              <w:rPr>
                <w:rFonts w:hint="eastAsia" w:ascii="宋体" w:hAnsi="宋体"/>
                <w:sz w:val="21"/>
                <w:highlight w:val="none"/>
              </w:rPr>
              <w:t>账号：</w:t>
            </w:r>
            <w:r>
              <w:rPr>
                <w:rFonts w:ascii="宋体" w:hAnsi="宋体"/>
                <w:sz w:val="21"/>
                <w:highlight w:val="none"/>
              </w:rPr>
              <w:t xml:space="preserve">3100 1544 </w:t>
            </w:r>
            <w:r>
              <w:rPr>
                <w:rFonts w:hint="eastAsia" w:ascii="宋体" w:hAnsi="宋体"/>
                <w:sz w:val="21"/>
                <w:highlight w:val="none"/>
              </w:rPr>
              <w:t>9000</w:t>
            </w:r>
            <w:r>
              <w:rPr>
                <w:rFonts w:ascii="宋体" w:hAnsi="宋体"/>
                <w:sz w:val="21"/>
                <w:highlight w:val="none"/>
              </w:rPr>
              <w:t xml:space="preserve"> 5973 0003</w:t>
            </w:r>
          </w:p>
          <w:p>
            <w:pPr>
              <w:adjustRightInd w:val="0"/>
              <w:spacing w:line="360" w:lineRule="auto"/>
              <w:rPr>
                <w:rFonts w:ascii="宋体" w:hAnsi="宋体"/>
                <w:sz w:val="21"/>
                <w:highlight w:val="none"/>
              </w:rPr>
            </w:pPr>
            <w:r>
              <w:rPr>
                <w:rFonts w:hint="eastAsia" w:ascii="宋体" w:hAnsi="宋体"/>
                <w:b/>
                <w:sz w:val="21"/>
                <w:highlight w:val="none"/>
              </w:rPr>
              <w:t>注：保证金递交截止时间：供应商须在提交响应文件截止时间之前交纳磋商保证金。以电汇方式支付的请备注</w:t>
            </w:r>
            <w:r>
              <w:rPr>
                <w:rFonts w:hint="eastAsia" w:ascii="宋体" w:hAnsi="宋体"/>
                <w:b/>
                <w:sz w:val="21"/>
                <w:highlight w:val="none"/>
                <w:lang w:eastAsia="zh-CN"/>
              </w:rPr>
              <w:t>SQ23-0682</w:t>
            </w:r>
            <w:r>
              <w:rPr>
                <w:rFonts w:hint="eastAsia" w:ascii="宋体" w:hAnsi="宋体"/>
                <w:b/>
                <w:sz w:val="21"/>
                <w:highlight w:val="none"/>
              </w:rPr>
              <w:t>保证金</w:t>
            </w:r>
            <w:r>
              <w:rPr>
                <w:rFonts w:hint="eastAsia" w:ascii="宋体" w:hAnsi="宋体"/>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60" w:type="dxa"/>
            <w:vAlign w:val="center"/>
          </w:tcPr>
          <w:p>
            <w:pPr>
              <w:numPr>
                <w:ilvl w:val="0"/>
                <w:numId w:val="6"/>
              </w:numPr>
              <w:adjustRightInd w:val="0"/>
              <w:spacing w:line="360" w:lineRule="auto"/>
              <w:jc w:val="center"/>
              <w:rPr>
                <w:rFonts w:ascii="宋体" w:hAnsi="宋体"/>
                <w:sz w:val="21"/>
                <w:highlight w:val="none"/>
              </w:rPr>
            </w:pPr>
          </w:p>
        </w:tc>
        <w:tc>
          <w:tcPr>
            <w:tcW w:w="7562" w:type="dxa"/>
            <w:vAlign w:val="center"/>
          </w:tcPr>
          <w:p>
            <w:pPr>
              <w:adjustRightInd w:val="0"/>
              <w:spacing w:line="360" w:lineRule="auto"/>
              <w:rPr>
                <w:rFonts w:ascii="宋体" w:hAnsi="宋体"/>
                <w:sz w:val="21"/>
                <w:highlight w:val="none"/>
              </w:rPr>
            </w:pPr>
            <w:r>
              <w:rPr>
                <w:rFonts w:hint="eastAsia" w:ascii="宋体" w:hAnsi="宋体"/>
                <w:sz w:val="21"/>
                <w:highlight w:val="none"/>
              </w:rPr>
              <w:t>正本数量：1套；副本数量：3套；</w:t>
            </w:r>
            <w:r>
              <w:rPr>
                <w:rFonts w:hint="eastAsia" w:ascii="宋体" w:hAnsi="宋体"/>
                <w:b/>
                <w:bCs/>
                <w:sz w:val="21"/>
                <w:highlight w:val="none"/>
              </w:rPr>
              <w:t>响应文件彩色扫描件（包含签字盖章）：1套。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atLeast"/>
        </w:trPr>
        <w:tc>
          <w:tcPr>
            <w:tcW w:w="960" w:type="dxa"/>
            <w:vAlign w:val="center"/>
          </w:tcPr>
          <w:p>
            <w:pPr>
              <w:numPr>
                <w:ilvl w:val="0"/>
                <w:numId w:val="6"/>
              </w:numPr>
              <w:adjustRightInd w:val="0"/>
              <w:spacing w:line="360" w:lineRule="auto"/>
              <w:jc w:val="center"/>
              <w:rPr>
                <w:rFonts w:ascii="宋体" w:hAnsi="宋体"/>
                <w:sz w:val="21"/>
                <w:highlight w:val="none"/>
              </w:rPr>
            </w:pPr>
          </w:p>
        </w:tc>
        <w:tc>
          <w:tcPr>
            <w:tcW w:w="7562" w:type="dxa"/>
            <w:vAlign w:val="center"/>
          </w:tcPr>
          <w:p>
            <w:pPr>
              <w:widowControl/>
              <w:adjustRightInd w:val="0"/>
              <w:spacing w:line="360" w:lineRule="auto"/>
              <w:jc w:val="left"/>
              <w:rPr>
                <w:rFonts w:ascii="宋体" w:hAnsi="宋体" w:cs="宋体"/>
                <w:kern w:val="0"/>
                <w:sz w:val="21"/>
                <w:highlight w:val="none"/>
              </w:rPr>
            </w:pPr>
            <w:r>
              <w:rPr>
                <w:rFonts w:hint="eastAsia" w:ascii="宋体" w:hAnsi="宋体"/>
                <w:sz w:val="21"/>
                <w:highlight w:val="none"/>
              </w:rPr>
              <w:t>响应文件递交至：</w:t>
            </w:r>
            <w:r>
              <w:rPr>
                <w:rFonts w:hint="eastAsia" w:ascii="宋体" w:hAnsi="宋体" w:cs="Arial"/>
                <w:kern w:val="0"/>
                <w:sz w:val="21"/>
                <w:highlight w:val="none"/>
              </w:rPr>
              <w:t>上海市杨浦区国霞路458弄2号11楼</w:t>
            </w:r>
          </w:p>
          <w:p>
            <w:pPr>
              <w:adjustRightInd w:val="0"/>
              <w:spacing w:line="360" w:lineRule="auto"/>
              <w:rPr>
                <w:rFonts w:ascii="宋体" w:hAnsi="宋体"/>
                <w:sz w:val="21"/>
                <w:highlight w:val="none"/>
              </w:rPr>
            </w:pPr>
            <w:r>
              <w:rPr>
                <w:rFonts w:hint="eastAsia" w:ascii="宋体" w:hAnsi="宋体"/>
                <w:sz w:val="21"/>
                <w:highlight w:val="none"/>
              </w:rPr>
              <w:t>文件开启地点：</w:t>
            </w:r>
            <w:r>
              <w:rPr>
                <w:rFonts w:hint="eastAsia" w:ascii="宋体" w:hAnsi="宋体" w:cs="Arial"/>
                <w:kern w:val="0"/>
                <w:sz w:val="21"/>
                <w:highlight w:val="none"/>
              </w:rPr>
              <w:t>上海市杨浦区国霞路458弄2号11楼</w:t>
            </w:r>
          </w:p>
          <w:p>
            <w:pPr>
              <w:adjustRightInd w:val="0"/>
              <w:spacing w:line="360" w:lineRule="auto"/>
              <w:rPr>
                <w:rFonts w:ascii="宋体" w:hAnsi="宋体"/>
                <w:sz w:val="21"/>
                <w:highlight w:val="none"/>
              </w:rPr>
            </w:pPr>
            <w:r>
              <w:rPr>
                <w:rFonts w:hint="eastAsia" w:ascii="宋体" w:hAnsi="宋体"/>
                <w:sz w:val="21"/>
                <w:highlight w:val="none"/>
              </w:rPr>
              <w:t>文件递交截止时间/文件开启时间：</w:t>
            </w:r>
            <w:r>
              <w:rPr>
                <w:rFonts w:hint="eastAsia" w:ascii="宋体" w:hAnsi="宋体" w:cs="宋体"/>
                <w:b/>
                <w:sz w:val="21"/>
                <w:highlight w:val="none"/>
                <w:lang w:eastAsia="zh-CN"/>
              </w:rPr>
              <w:t>2023年10月20日14:00</w:t>
            </w:r>
            <w:r>
              <w:rPr>
                <w:rFonts w:hint="eastAsia" w:ascii="宋体" w:hAnsi="宋体"/>
                <w:sz w:val="21"/>
                <w:highlight w:val="none"/>
              </w:rPr>
              <w:t>（北京时间）</w:t>
            </w:r>
          </w:p>
          <w:p>
            <w:pPr>
              <w:adjustRightInd w:val="0"/>
              <w:spacing w:line="360" w:lineRule="auto"/>
              <w:rPr>
                <w:rFonts w:ascii="宋体" w:hAnsi="宋体"/>
                <w:sz w:val="21"/>
                <w:highlight w:val="none"/>
              </w:rPr>
            </w:pPr>
            <w:r>
              <w:rPr>
                <w:rFonts w:hint="eastAsia" w:ascii="宋体" w:hAnsi="宋体"/>
                <w:sz w:val="21"/>
                <w:highlight w:val="none"/>
              </w:rPr>
              <w:t>磋商时间：</w:t>
            </w:r>
            <w:r>
              <w:rPr>
                <w:rFonts w:hint="eastAsia" w:ascii="宋体" w:hAnsi="宋体" w:cs="宋体"/>
                <w:b/>
                <w:sz w:val="21"/>
                <w:highlight w:val="none"/>
                <w:lang w:eastAsia="zh-CN"/>
              </w:rPr>
              <w:t>2023年10月20日14:00</w:t>
            </w:r>
            <w:r>
              <w:rPr>
                <w:rFonts w:hint="eastAsia" w:ascii="宋体" w:hAnsi="宋体"/>
                <w:sz w:val="21"/>
                <w:highlight w:val="none"/>
              </w:rPr>
              <w:t>（北京时间）</w:t>
            </w:r>
          </w:p>
          <w:p>
            <w:pPr>
              <w:adjustRightInd w:val="0"/>
              <w:spacing w:line="360" w:lineRule="auto"/>
              <w:rPr>
                <w:rFonts w:ascii="宋体" w:hAnsi="宋体"/>
                <w:sz w:val="21"/>
                <w:highlight w:val="none"/>
              </w:rPr>
            </w:pPr>
            <w:r>
              <w:rPr>
                <w:rFonts w:hint="eastAsia" w:ascii="宋体" w:hAnsi="宋体"/>
                <w:sz w:val="21"/>
                <w:highlight w:val="none"/>
              </w:rPr>
              <w:t>逾期收到或不符合规定的响应文件恕不接受。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60" w:type="dxa"/>
            <w:vAlign w:val="center"/>
          </w:tcPr>
          <w:p>
            <w:pPr>
              <w:numPr>
                <w:ilvl w:val="0"/>
                <w:numId w:val="6"/>
              </w:numPr>
              <w:adjustRightInd w:val="0"/>
              <w:spacing w:line="360" w:lineRule="auto"/>
              <w:jc w:val="center"/>
              <w:rPr>
                <w:rFonts w:ascii="宋体" w:hAnsi="宋体"/>
                <w:sz w:val="21"/>
                <w:highlight w:val="none"/>
              </w:rPr>
            </w:pPr>
          </w:p>
        </w:tc>
        <w:tc>
          <w:tcPr>
            <w:tcW w:w="7562" w:type="dxa"/>
            <w:vAlign w:val="center"/>
          </w:tcPr>
          <w:p>
            <w:pPr>
              <w:adjustRightInd w:val="0"/>
              <w:spacing w:line="360" w:lineRule="auto"/>
              <w:rPr>
                <w:rFonts w:ascii="宋体" w:hAnsi="宋体"/>
                <w:sz w:val="21"/>
                <w:highlight w:val="none"/>
              </w:rPr>
            </w:pPr>
            <w:r>
              <w:rPr>
                <w:rFonts w:hint="eastAsia" w:ascii="宋体" w:hAnsi="宋体"/>
                <w:sz w:val="21"/>
                <w:highlight w:val="none"/>
              </w:rPr>
              <w:t>磋商有效期：90天</w:t>
            </w:r>
          </w:p>
          <w:p>
            <w:pPr>
              <w:adjustRightInd w:val="0"/>
              <w:spacing w:line="360" w:lineRule="auto"/>
              <w:rPr>
                <w:rFonts w:ascii="宋体" w:hAnsi="宋体"/>
                <w:sz w:val="21"/>
                <w:highlight w:val="none"/>
              </w:rPr>
            </w:pPr>
            <w:r>
              <w:rPr>
                <w:rFonts w:hint="eastAsia" w:ascii="宋体" w:hAnsi="宋体"/>
                <w:b/>
                <w:sz w:val="21"/>
                <w:highlight w:val="none"/>
              </w:rPr>
              <w:t>★磋商有效期不足90天的响应视作无效响应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60" w:type="dxa"/>
            <w:vAlign w:val="center"/>
          </w:tcPr>
          <w:p>
            <w:pPr>
              <w:numPr>
                <w:ilvl w:val="0"/>
                <w:numId w:val="6"/>
              </w:numPr>
              <w:adjustRightInd w:val="0"/>
              <w:spacing w:line="360" w:lineRule="auto"/>
              <w:jc w:val="center"/>
              <w:rPr>
                <w:rFonts w:ascii="宋体" w:hAnsi="宋体"/>
                <w:sz w:val="21"/>
                <w:highlight w:val="none"/>
              </w:rPr>
            </w:pPr>
          </w:p>
        </w:tc>
        <w:tc>
          <w:tcPr>
            <w:tcW w:w="7562" w:type="dxa"/>
            <w:vAlign w:val="center"/>
          </w:tcPr>
          <w:p>
            <w:pPr>
              <w:adjustRightInd w:val="0"/>
              <w:spacing w:line="360" w:lineRule="auto"/>
              <w:rPr>
                <w:rFonts w:ascii="宋体" w:hAnsi="宋体"/>
                <w:sz w:val="21"/>
                <w:highlight w:val="none"/>
              </w:rPr>
            </w:pPr>
            <w:r>
              <w:rPr>
                <w:rFonts w:hint="eastAsia" w:ascii="宋体" w:hAnsi="宋体"/>
                <w:sz w:val="21"/>
                <w:highlight w:val="none"/>
              </w:rPr>
              <w:t>其他评标考虑因素：详见评标办法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60" w:type="dxa"/>
            <w:vAlign w:val="center"/>
          </w:tcPr>
          <w:p>
            <w:pPr>
              <w:numPr>
                <w:ilvl w:val="0"/>
                <w:numId w:val="6"/>
              </w:numPr>
              <w:adjustRightInd w:val="0"/>
              <w:spacing w:line="360" w:lineRule="auto"/>
              <w:jc w:val="center"/>
              <w:rPr>
                <w:rFonts w:ascii="宋体" w:hAnsi="宋体"/>
                <w:sz w:val="21"/>
                <w:highlight w:val="none"/>
              </w:rPr>
            </w:pPr>
          </w:p>
        </w:tc>
        <w:tc>
          <w:tcPr>
            <w:tcW w:w="7562" w:type="dxa"/>
            <w:vAlign w:val="center"/>
          </w:tcPr>
          <w:p>
            <w:pPr>
              <w:adjustRightInd w:val="0"/>
              <w:spacing w:line="360" w:lineRule="auto"/>
              <w:rPr>
                <w:rFonts w:ascii="宋体" w:hAnsi="宋体"/>
                <w:sz w:val="21"/>
                <w:highlight w:val="none"/>
              </w:rPr>
            </w:pPr>
            <w:r>
              <w:rPr>
                <w:rFonts w:hint="eastAsia" w:ascii="宋体" w:hAnsi="宋体"/>
                <w:sz w:val="21"/>
                <w:highlight w:val="none"/>
              </w:rPr>
              <w:t>采购代理服务费:</w:t>
            </w:r>
            <w:r>
              <w:rPr>
                <w:rFonts w:hint="eastAsia" w:ascii="宋体" w:hAnsi="宋体"/>
                <w:sz w:val="21"/>
                <w:highlight w:val="none"/>
                <w:lang w:eastAsia="zh-CN"/>
              </w:rPr>
              <w:t>人民币7000元，由成交供应商在接受成交通知书时向采购代理机构一次性支付。</w:t>
            </w:r>
          </w:p>
        </w:tc>
      </w:tr>
    </w:tbl>
    <w:p>
      <w:pPr>
        <w:adjustRightInd w:val="0"/>
        <w:snapToGrid w:val="0"/>
        <w:spacing w:line="360" w:lineRule="auto"/>
        <w:rPr>
          <w:rFonts w:ascii="宋体" w:hAnsi="宋体"/>
          <w:highlight w:val="none"/>
        </w:rPr>
      </w:pPr>
      <w:bookmarkStart w:id="1" w:name="_Toc386616188"/>
    </w:p>
    <w:p>
      <w:pPr>
        <w:numPr>
          <w:ilvl w:val="0"/>
          <w:numId w:val="5"/>
        </w:numPr>
        <w:adjustRightInd w:val="0"/>
        <w:snapToGrid w:val="0"/>
        <w:spacing w:line="360" w:lineRule="auto"/>
        <w:jc w:val="center"/>
        <w:outlineLvl w:val="0"/>
        <w:rPr>
          <w:rFonts w:ascii="宋体" w:hAnsi="宋体"/>
          <w:b/>
          <w:sz w:val="32"/>
          <w:highlight w:val="none"/>
        </w:rPr>
      </w:pPr>
      <w:bookmarkStart w:id="2" w:name="_Toc374964365"/>
      <w:bookmarkStart w:id="3" w:name="_Toc376433510"/>
      <w:bookmarkStart w:id="4" w:name="_Toc374001377"/>
      <w:bookmarkStart w:id="5" w:name="_Toc374000529"/>
      <w:bookmarkStart w:id="6" w:name="_Toc380996583"/>
      <w:bookmarkStart w:id="7" w:name="_Toc381015694"/>
      <w:bookmarkStart w:id="8" w:name="_Toc374364283"/>
      <w:r>
        <w:rPr>
          <w:rFonts w:hint="eastAsia" w:ascii="宋体" w:hAnsi="宋体"/>
          <w:b/>
          <w:spacing w:val="28"/>
          <w:sz w:val="32"/>
          <w:szCs w:val="22"/>
          <w:highlight w:val="none"/>
        </w:rPr>
        <w:br w:type="page"/>
      </w:r>
      <w:bookmarkEnd w:id="2"/>
      <w:bookmarkEnd w:id="3"/>
      <w:bookmarkEnd w:id="4"/>
      <w:bookmarkEnd w:id="5"/>
      <w:bookmarkEnd w:id="6"/>
      <w:bookmarkEnd w:id="7"/>
      <w:bookmarkEnd w:id="8"/>
      <w:bookmarkStart w:id="9" w:name="_Toc7618"/>
      <w:r>
        <w:rPr>
          <w:rFonts w:hint="eastAsia" w:ascii="宋体" w:hAnsi="宋体"/>
          <w:b/>
          <w:spacing w:val="28"/>
          <w:sz w:val="32"/>
          <w:szCs w:val="22"/>
          <w:highlight w:val="none"/>
        </w:rPr>
        <w:t>响应供应商须知</w:t>
      </w:r>
      <w:bookmarkEnd w:id="9"/>
    </w:p>
    <w:p>
      <w:pPr>
        <w:spacing w:line="500" w:lineRule="exact"/>
        <w:jc w:val="center"/>
        <w:rPr>
          <w:rFonts w:ascii="宋体" w:hAnsi="宋体"/>
          <w:b/>
          <w:spacing w:val="28"/>
          <w:sz w:val="32"/>
          <w:szCs w:val="22"/>
          <w:highlight w:val="none"/>
        </w:rPr>
      </w:pPr>
    </w:p>
    <w:p>
      <w:pPr>
        <w:spacing w:line="360" w:lineRule="auto"/>
        <w:outlineLvl w:val="1"/>
        <w:rPr>
          <w:rFonts w:ascii="宋体" w:hAnsi="宋体"/>
          <w:b/>
          <w:bCs/>
          <w:sz w:val="21"/>
          <w:highlight w:val="none"/>
        </w:rPr>
      </w:pPr>
      <w:bookmarkStart w:id="10" w:name="_Toc380996584"/>
      <w:bookmarkStart w:id="11" w:name="_Toc374000530"/>
      <w:bookmarkStart w:id="12" w:name="_Toc10774"/>
      <w:bookmarkStart w:id="13" w:name="_Toc376433511"/>
      <w:bookmarkStart w:id="14" w:name="_Toc381015695"/>
      <w:bookmarkStart w:id="15" w:name="_Toc374001378"/>
      <w:bookmarkStart w:id="16" w:name="_Toc437613702"/>
      <w:bookmarkStart w:id="17" w:name="_Toc374964366"/>
      <w:bookmarkStart w:id="18" w:name="_Toc18356"/>
      <w:bookmarkStart w:id="19" w:name="_Toc374364284"/>
      <w:r>
        <w:rPr>
          <w:rFonts w:hint="eastAsia" w:ascii="宋体" w:hAnsi="宋体"/>
          <w:b/>
          <w:bCs/>
          <w:sz w:val="21"/>
          <w:highlight w:val="none"/>
        </w:rPr>
        <w:t>一、说　明</w:t>
      </w:r>
      <w:bookmarkEnd w:id="10"/>
      <w:bookmarkEnd w:id="11"/>
      <w:bookmarkEnd w:id="12"/>
      <w:bookmarkEnd w:id="13"/>
      <w:bookmarkEnd w:id="14"/>
      <w:bookmarkEnd w:id="15"/>
      <w:bookmarkEnd w:id="16"/>
      <w:bookmarkEnd w:id="17"/>
      <w:bookmarkEnd w:id="18"/>
      <w:bookmarkEnd w:id="19"/>
    </w:p>
    <w:p>
      <w:pPr>
        <w:numPr>
          <w:ilvl w:val="0"/>
          <w:numId w:val="7"/>
        </w:numPr>
        <w:adjustRightInd w:val="0"/>
        <w:snapToGrid w:val="0"/>
        <w:spacing w:line="360" w:lineRule="auto"/>
        <w:rPr>
          <w:rFonts w:ascii="宋体" w:hAnsi="宋体"/>
          <w:sz w:val="21"/>
          <w:highlight w:val="none"/>
        </w:rPr>
      </w:pPr>
      <w:r>
        <w:rPr>
          <w:rFonts w:hint="eastAsia" w:ascii="宋体" w:hAnsi="宋体"/>
          <w:sz w:val="21"/>
          <w:highlight w:val="none"/>
        </w:rPr>
        <w:t>适用范围</w:t>
      </w:r>
    </w:p>
    <w:p>
      <w:pPr>
        <w:adjustRightInd w:val="0"/>
        <w:snapToGrid w:val="0"/>
        <w:spacing w:line="360" w:lineRule="auto"/>
        <w:rPr>
          <w:rFonts w:ascii="宋体" w:hAnsi="宋体"/>
          <w:sz w:val="21"/>
          <w:highlight w:val="none"/>
        </w:rPr>
      </w:pPr>
      <w:r>
        <w:rPr>
          <w:rFonts w:hint="eastAsia" w:ascii="宋体" w:hAnsi="宋体"/>
          <w:sz w:val="21"/>
          <w:highlight w:val="none"/>
        </w:rPr>
        <w:t>1.1</w:t>
      </w:r>
      <w:r>
        <w:rPr>
          <w:rFonts w:hint="eastAsia" w:ascii="宋体" w:hAnsi="宋体"/>
          <w:sz w:val="21"/>
          <w:highlight w:val="none"/>
        </w:rPr>
        <w:tab/>
      </w:r>
      <w:r>
        <w:rPr>
          <w:rFonts w:hint="eastAsia" w:ascii="宋体" w:hAnsi="宋体"/>
          <w:sz w:val="21"/>
          <w:highlight w:val="none"/>
        </w:rPr>
        <w:t>本磋商文件仅适用于本采购邀请中所叙述的服务采购。</w:t>
      </w:r>
    </w:p>
    <w:p>
      <w:pPr>
        <w:numPr>
          <w:ilvl w:val="0"/>
          <w:numId w:val="7"/>
        </w:numPr>
        <w:adjustRightInd w:val="0"/>
        <w:snapToGrid w:val="0"/>
        <w:spacing w:line="360" w:lineRule="auto"/>
        <w:ind w:left="357" w:hanging="357"/>
        <w:rPr>
          <w:rFonts w:ascii="宋体" w:hAnsi="宋体"/>
          <w:sz w:val="21"/>
          <w:highlight w:val="none"/>
        </w:rPr>
      </w:pPr>
      <w:r>
        <w:rPr>
          <w:rFonts w:hint="eastAsia" w:ascii="宋体" w:hAnsi="宋体"/>
          <w:sz w:val="21"/>
          <w:highlight w:val="none"/>
        </w:rPr>
        <w:t>定义</w:t>
      </w:r>
    </w:p>
    <w:p>
      <w:pPr>
        <w:numPr>
          <w:ilvl w:val="1"/>
          <w:numId w:val="8"/>
        </w:numPr>
        <w:adjustRightInd w:val="0"/>
        <w:snapToGrid w:val="0"/>
        <w:spacing w:line="360" w:lineRule="auto"/>
        <w:rPr>
          <w:rFonts w:ascii="宋体" w:hAnsi="宋体"/>
          <w:color w:val="auto"/>
          <w:sz w:val="21"/>
          <w:highlight w:val="none"/>
        </w:rPr>
      </w:pPr>
      <w:r>
        <w:rPr>
          <w:rFonts w:hint="eastAsia" w:ascii="宋体" w:hAnsi="宋体"/>
          <w:color w:val="auto"/>
          <w:sz w:val="21"/>
          <w:highlight w:val="none"/>
        </w:rPr>
        <w:t>“采购人”（买方）</w:t>
      </w:r>
      <w:r>
        <w:rPr>
          <w:rFonts w:ascii="宋体" w:hAnsi="宋体"/>
          <w:color w:val="auto"/>
          <w:sz w:val="21"/>
          <w:highlight w:val="none"/>
        </w:rPr>
        <w:t>系指</w:t>
      </w:r>
      <w:r>
        <w:rPr>
          <w:rFonts w:hint="eastAsia" w:ascii="宋体" w:hAnsi="宋体"/>
          <w:color w:val="auto"/>
          <w:sz w:val="21"/>
          <w:highlight w:val="none"/>
          <w:lang w:eastAsia="zh-CN"/>
        </w:rPr>
        <w:t>上海市宝山区城市运行管理中心</w:t>
      </w:r>
      <w:r>
        <w:rPr>
          <w:rFonts w:hint="eastAsia" w:ascii="宋体" w:hAnsi="宋体"/>
          <w:color w:val="auto"/>
          <w:sz w:val="21"/>
          <w:highlight w:val="none"/>
        </w:rPr>
        <w:t>。</w:t>
      </w:r>
    </w:p>
    <w:p>
      <w:pPr>
        <w:numPr>
          <w:ilvl w:val="1"/>
          <w:numId w:val="8"/>
        </w:numPr>
        <w:adjustRightInd w:val="0"/>
        <w:snapToGrid w:val="0"/>
        <w:spacing w:line="360" w:lineRule="auto"/>
        <w:rPr>
          <w:rFonts w:ascii="宋体" w:hAnsi="宋体"/>
          <w:sz w:val="21"/>
          <w:highlight w:val="none"/>
        </w:rPr>
      </w:pPr>
      <w:r>
        <w:rPr>
          <w:rFonts w:hint="eastAsia" w:ascii="宋体" w:hAnsi="宋体"/>
          <w:sz w:val="21"/>
          <w:highlight w:val="none"/>
        </w:rPr>
        <w:t>“采购</w:t>
      </w:r>
      <w:r>
        <w:rPr>
          <w:rFonts w:ascii="宋体" w:hAnsi="宋体"/>
          <w:sz w:val="21"/>
          <w:highlight w:val="none"/>
        </w:rPr>
        <w:t>代理</w:t>
      </w:r>
      <w:r>
        <w:rPr>
          <w:rFonts w:hint="eastAsia" w:ascii="宋体" w:hAnsi="宋体"/>
          <w:sz w:val="21"/>
          <w:highlight w:val="none"/>
        </w:rPr>
        <w:t>机构”</w:t>
      </w:r>
      <w:r>
        <w:rPr>
          <w:rFonts w:ascii="宋体" w:hAnsi="宋体"/>
          <w:sz w:val="21"/>
          <w:highlight w:val="none"/>
        </w:rPr>
        <w:t>系指</w:t>
      </w:r>
      <w:r>
        <w:rPr>
          <w:rFonts w:hint="eastAsia" w:ascii="宋体" w:hAnsi="宋体"/>
          <w:sz w:val="21"/>
          <w:highlight w:val="none"/>
        </w:rPr>
        <w:t>上海申权招标咨询有限公司</w:t>
      </w:r>
      <w:r>
        <w:rPr>
          <w:rFonts w:ascii="宋体" w:hAnsi="宋体"/>
          <w:sz w:val="21"/>
          <w:highlight w:val="none"/>
        </w:rPr>
        <w:t>。</w:t>
      </w:r>
    </w:p>
    <w:p>
      <w:pPr>
        <w:numPr>
          <w:ilvl w:val="1"/>
          <w:numId w:val="8"/>
        </w:numPr>
        <w:adjustRightInd w:val="0"/>
        <w:snapToGrid w:val="0"/>
        <w:spacing w:line="360" w:lineRule="auto"/>
        <w:rPr>
          <w:rFonts w:ascii="宋体" w:hAnsi="宋体"/>
          <w:sz w:val="21"/>
          <w:highlight w:val="none"/>
        </w:rPr>
      </w:pPr>
      <w:r>
        <w:rPr>
          <w:rFonts w:hint="eastAsia" w:ascii="宋体" w:hAnsi="宋体"/>
          <w:sz w:val="21"/>
          <w:highlight w:val="none"/>
        </w:rPr>
        <w:t>“响应供应商”（</w:t>
      </w:r>
      <w:r>
        <w:rPr>
          <w:rFonts w:ascii="宋体" w:hAnsi="宋体"/>
          <w:sz w:val="21"/>
          <w:highlight w:val="none"/>
        </w:rPr>
        <w:t>卖方</w:t>
      </w:r>
      <w:r>
        <w:rPr>
          <w:rFonts w:hint="eastAsia" w:ascii="宋体" w:hAnsi="宋体"/>
          <w:sz w:val="21"/>
          <w:highlight w:val="none"/>
        </w:rPr>
        <w:t>）</w:t>
      </w:r>
      <w:r>
        <w:rPr>
          <w:rFonts w:ascii="宋体" w:hAnsi="宋体"/>
          <w:sz w:val="21"/>
          <w:highlight w:val="none"/>
        </w:rPr>
        <w:t>系指向</w:t>
      </w:r>
      <w:r>
        <w:rPr>
          <w:rFonts w:hint="eastAsia" w:ascii="宋体" w:hAnsi="宋体"/>
          <w:sz w:val="21"/>
          <w:highlight w:val="none"/>
        </w:rPr>
        <w:t>采购代理机构</w:t>
      </w:r>
      <w:r>
        <w:rPr>
          <w:rFonts w:ascii="宋体" w:hAnsi="宋体"/>
          <w:sz w:val="21"/>
          <w:highlight w:val="none"/>
        </w:rPr>
        <w:t>提交磋商响应文件的供应商。</w:t>
      </w:r>
    </w:p>
    <w:p>
      <w:pPr>
        <w:adjustRightInd w:val="0"/>
        <w:snapToGrid w:val="0"/>
        <w:spacing w:line="360" w:lineRule="auto"/>
        <w:rPr>
          <w:rFonts w:ascii="宋体" w:hAnsi="宋体"/>
          <w:sz w:val="21"/>
          <w:highlight w:val="none"/>
        </w:rPr>
      </w:pPr>
      <w:r>
        <w:rPr>
          <w:rFonts w:hint="eastAsia" w:ascii="宋体" w:hAnsi="宋体"/>
          <w:sz w:val="21"/>
          <w:highlight w:val="none"/>
        </w:rPr>
        <w:t>2.4 “服务”系指磋商文件规定卖方须承担的服务的义务、技术协助、培训服务以及其他类似义务。</w:t>
      </w:r>
    </w:p>
    <w:p>
      <w:pPr>
        <w:numPr>
          <w:ilvl w:val="0"/>
          <w:numId w:val="7"/>
        </w:numPr>
        <w:adjustRightInd w:val="0"/>
        <w:snapToGrid w:val="0"/>
        <w:spacing w:line="360" w:lineRule="auto"/>
        <w:ind w:left="357" w:hanging="357"/>
        <w:rPr>
          <w:rFonts w:ascii="宋体" w:hAnsi="宋体"/>
          <w:sz w:val="21"/>
          <w:highlight w:val="none"/>
        </w:rPr>
      </w:pPr>
      <w:r>
        <w:rPr>
          <w:rFonts w:hint="eastAsia" w:ascii="宋体" w:hAnsi="宋体"/>
          <w:sz w:val="21"/>
          <w:highlight w:val="none"/>
        </w:rPr>
        <w:t>合格的响应供应商</w:t>
      </w:r>
    </w:p>
    <w:p>
      <w:pPr>
        <w:adjustRightInd w:val="0"/>
        <w:snapToGrid w:val="0"/>
        <w:spacing w:line="360" w:lineRule="auto"/>
        <w:ind w:left="420" w:hanging="420" w:hangingChars="200"/>
        <w:rPr>
          <w:rFonts w:ascii="宋体" w:hAnsi="宋体"/>
          <w:sz w:val="21"/>
          <w:highlight w:val="none"/>
        </w:rPr>
      </w:pPr>
      <w:r>
        <w:rPr>
          <w:rFonts w:hint="eastAsia" w:ascii="宋体" w:hAnsi="宋体"/>
          <w:sz w:val="21"/>
          <w:highlight w:val="none"/>
        </w:rPr>
        <w:t>3.1</w:t>
      </w:r>
      <w:r>
        <w:rPr>
          <w:rFonts w:hint="eastAsia" w:ascii="宋体" w:hAnsi="宋体"/>
          <w:sz w:val="21"/>
          <w:highlight w:val="none"/>
        </w:rPr>
        <w:tab/>
      </w:r>
      <w:r>
        <w:rPr>
          <w:rFonts w:hint="eastAsia" w:ascii="宋体" w:hAnsi="宋体"/>
          <w:sz w:val="21"/>
          <w:highlight w:val="none"/>
        </w:rPr>
        <w:t>详见公告。</w:t>
      </w:r>
    </w:p>
    <w:p>
      <w:pPr>
        <w:numPr>
          <w:ilvl w:val="0"/>
          <w:numId w:val="7"/>
        </w:numPr>
        <w:adjustRightInd w:val="0"/>
        <w:snapToGrid w:val="0"/>
        <w:spacing w:line="360" w:lineRule="auto"/>
        <w:ind w:left="357" w:hanging="357"/>
        <w:rPr>
          <w:rFonts w:ascii="宋体" w:hAnsi="宋体"/>
          <w:sz w:val="21"/>
          <w:highlight w:val="none"/>
        </w:rPr>
      </w:pPr>
      <w:r>
        <w:rPr>
          <w:rFonts w:hint="eastAsia" w:ascii="宋体" w:hAnsi="宋体"/>
          <w:sz w:val="21"/>
          <w:highlight w:val="none"/>
        </w:rPr>
        <w:t>磋商费用</w:t>
      </w:r>
    </w:p>
    <w:p>
      <w:pPr>
        <w:adjustRightInd w:val="0"/>
        <w:snapToGrid w:val="0"/>
        <w:spacing w:line="360" w:lineRule="auto"/>
        <w:rPr>
          <w:rFonts w:ascii="宋体" w:hAnsi="宋体"/>
          <w:sz w:val="21"/>
          <w:highlight w:val="none"/>
        </w:rPr>
      </w:pPr>
      <w:r>
        <w:rPr>
          <w:rFonts w:hint="eastAsia" w:ascii="宋体" w:hAnsi="宋体"/>
          <w:sz w:val="21"/>
          <w:highlight w:val="none"/>
        </w:rPr>
        <w:t>4.1</w:t>
      </w:r>
      <w:r>
        <w:rPr>
          <w:rFonts w:hint="eastAsia" w:ascii="宋体" w:hAnsi="宋体"/>
          <w:sz w:val="21"/>
          <w:highlight w:val="none"/>
        </w:rPr>
        <w:tab/>
      </w:r>
      <w:r>
        <w:rPr>
          <w:rFonts w:hint="eastAsia" w:ascii="宋体" w:hAnsi="宋体"/>
          <w:sz w:val="21"/>
          <w:highlight w:val="none"/>
        </w:rPr>
        <w:t>无论磋商过程中的作法和结果如何，响应供应商自行承担所有与参加磋商有关的全部费用。</w:t>
      </w:r>
    </w:p>
    <w:p>
      <w:pPr>
        <w:adjustRightInd w:val="0"/>
        <w:snapToGrid w:val="0"/>
        <w:spacing w:line="360" w:lineRule="auto"/>
        <w:rPr>
          <w:rFonts w:ascii="宋体" w:hAnsi="宋体"/>
          <w:sz w:val="21"/>
          <w:highlight w:val="none"/>
        </w:rPr>
      </w:pPr>
    </w:p>
    <w:p>
      <w:pPr>
        <w:spacing w:line="360" w:lineRule="auto"/>
        <w:outlineLvl w:val="1"/>
        <w:rPr>
          <w:rFonts w:hint="eastAsia" w:ascii="宋体" w:hAnsi="宋体" w:cs="Times New Roman"/>
          <w:b/>
          <w:bCs/>
          <w:sz w:val="21"/>
          <w:highlight w:val="none"/>
        </w:rPr>
      </w:pPr>
      <w:bookmarkStart w:id="20" w:name="_Toc376433512"/>
      <w:bookmarkStart w:id="21" w:name="_Toc374000531"/>
      <w:bookmarkStart w:id="22" w:name="_Toc374964367"/>
      <w:bookmarkStart w:id="23" w:name="_Toc8290"/>
      <w:bookmarkStart w:id="24" w:name="_Toc380996585"/>
      <w:bookmarkStart w:id="25" w:name="_Toc437613703"/>
      <w:bookmarkStart w:id="26" w:name="_Toc374001379"/>
      <w:bookmarkStart w:id="27" w:name="_Toc381015696"/>
      <w:bookmarkStart w:id="28" w:name="_Toc18215"/>
      <w:bookmarkStart w:id="29" w:name="_Toc374364285"/>
      <w:r>
        <w:rPr>
          <w:rFonts w:hint="eastAsia" w:ascii="宋体" w:hAnsi="宋体" w:cs="Times New Roman"/>
          <w:b/>
          <w:bCs/>
          <w:sz w:val="21"/>
          <w:highlight w:val="none"/>
          <w:lang w:val="en-US" w:eastAsia="zh-CN"/>
        </w:rPr>
        <w:t>二</w:t>
      </w:r>
      <w:r>
        <w:rPr>
          <w:rFonts w:hint="eastAsia" w:ascii="宋体" w:hAnsi="宋体" w:cs="Times New Roman"/>
          <w:b/>
          <w:bCs/>
          <w:sz w:val="21"/>
          <w:highlight w:val="none"/>
        </w:rPr>
        <w:t>、磋商响应文件的编写</w:t>
      </w:r>
    </w:p>
    <w:p>
      <w:pPr>
        <w:numPr>
          <w:ilvl w:val="0"/>
          <w:numId w:val="7"/>
        </w:numPr>
        <w:adjustRightInd w:val="0"/>
        <w:snapToGrid w:val="0"/>
        <w:spacing w:line="360" w:lineRule="auto"/>
        <w:ind w:left="357" w:hanging="357"/>
        <w:rPr>
          <w:rFonts w:ascii="宋体" w:hAnsi="宋体"/>
          <w:sz w:val="21"/>
          <w:highlight w:val="none"/>
        </w:rPr>
      </w:pPr>
      <w:r>
        <w:rPr>
          <w:rFonts w:hint="eastAsia" w:ascii="宋体" w:hAnsi="宋体"/>
          <w:sz w:val="21"/>
          <w:highlight w:val="none"/>
        </w:rPr>
        <w:t>要求</w:t>
      </w:r>
    </w:p>
    <w:p>
      <w:pPr>
        <w:adjustRightInd w:val="0"/>
        <w:snapToGrid w:val="0"/>
        <w:spacing w:line="360" w:lineRule="auto"/>
        <w:ind w:left="416" w:hanging="416"/>
        <w:rPr>
          <w:rFonts w:ascii="宋体" w:hAnsi="宋体"/>
          <w:sz w:val="21"/>
          <w:highlight w:val="none"/>
        </w:rPr>
      </w:pPr>
      <w:r>
        <w:rPr>
          <w:rFonts w:hint="eastAsia" w:ascii="宋体" w:hAnsi="宋体"/>
          <w:sz w:val="21"/>
          <w:highlight w:val="none"/>
          <w:lang w:val="en-US" w:eastAsia="zh-CN"/>
        </w:rPr>
        <w:t>5</w:t>
      </w:r>
      <w:r>
        <w:rPr>
          <w:rFonts w:hint="eastAsia" w:ascii="宋体" w:hAnsi="宋体"/>
          <w:sz w:val="21"/>
          <w:highlight w:val="none"/>
        </w:rPr>
        <w:t>.1</w:t>
      </w:r>
      <w:r>
        <w:rPr>
          <w:rFonts w:hint="eastAsia" w:ascii="宋体" w:hAnsi="宋体"/>
          <w:sz w:val="21"/>
          <w:highlight w:val="none"/>
        </w:rPr>
        <w:tab/>
      </w:r>
      <w:r>
        <w:rPr>
          <w:rFonts w:hint="eastAsia" w:ascii="宋体" w:hAnsi="宋体"/>
          <w:sz w:val="21"/>
          <w:highlight w:val="none"/>
        </w:rPr>
        <w:t>响应供应商应仔细阅读磋商文件的所有内容，按磋商文件的要求提供磋商响应文件，并保证所提供的全部资料的真实性，以使其递交文件对磋商文件作出实质性响应，否则，其文件可能被拒绝。</w:t>
      </w:r>
    </w:p>
    <w:p>
      <w:pPr>
        <w:numPr>
          <w:ilvl w:val="0"/>
          <w:numId w:val="7"/>
        </w:numPr>
        <w:adjustRightInd w:val="0"/>
        <w:snapToGrid w:val="0"/>
        <w:spacing w:line="360" w:lineRule="auto"/>
        <w:ind w:left="357" w:hanging="357"/>
        <w:rPr>
          <w:rFonts w:ascii="宋体" w:hAnsi="宋体"/>
          <w:sz w:val="21"/>
          <w:highlight w:val="none"/>
        </w:rPr>
      </w:pPr>
      <w:r>
        <w:rPr>
          <w:rFonts w:hint="eastAsia" w:ascii="宋体" w:hAnsi="宋体"/>
          <w:sz w:val="21"/>
          <w:highlight w:val="none"/>
        </w:rPr>
        <w:t>磋商文件语言及计量单位</w:t>
      </w:r>
    </w:p>
    <w:p>
      <w:pPr>
        <w:adjustRightInd w:val="0"/>
        <w:snapToGrid w:val="0"/>
        <w:spacing w:line="360" w:lineRule="auto"/>
        <w:rPr>
          <w:rFonts w:ascii="宋体" w:hAnsi="宋体"/>
          <w:sz w:val="21"/>
          <w:highlight w:val="none"/>
        </w:rPr>
      </w:pPr>
      <w:r>
        <w:rPr>
          <w:rFonts w:hint="eastAsia" w:ascii="宋体" w:hAnsi="宋体"/>
          <w:sz w:val="21"/>
          <w:highlight w:val="none"/>
          <w:lang w:val="en-US" w:eastAsia="zh-CN"/>
        </w:rPr>
        <w:t>6</w:t>
      </w:r>
      <w:r>
        <w:rPr>
          <w:rFonts w:hint="eastAsia" w:ascii="宋体" w:hAnsi="宋体"/>
          <w:sz w:val="21"/>
          <w:highlight w:val="none"/>
        </w:rPr>
        <w:t>.1</w:t>
      </w:r>
      <w:r>
        <w:rPr>
          <w:rFonts w:hint="eastAsia" w:ascii="宋体" w:hAnsi="宋体"/>
          <w:sz w:val="21"/>
          <w:highlight w:val="none"/>
        </w:rPr>
        <w:tab/>
      </w:r>
      <w:r>
        <w:rPr>
          <w:rFonts w:hint="eastAsia" w:ascii="宋体" w:hAnsi="宋体"/>
          <w:sz w:val="21"/>
          <w:highlight w:val="none"/>
        </w:rPr>
        <w:t>磋商文件及响应供应商和采购代理机构就磋商交换的文件和往来信件，应以中文书写。</w:t>
      </w:r>
    </w:p>
    <w:p>
      <w:pPr>
        <w:adjustRightInd w:val="0"/>
        <w:snapToGrid w:val="0"/>
        <w:spacing w:line="360" w:lineRule="auto"/>
        <w:ind w:left="416" w:hanging="416"/>
        <w:rPr>
          <w:rFonts w:ascii="宋体" w:hAnsi="宋体"/>
          <w:sz w:val="21"/>
          <w:highlight w:val="none"/>
        </w:rPr>
      </w:pPr>
      <w:r>
        <w:rPr>
          <w:rFonts w:hint="eastAsia" w:ascii="宋体" w:hAnsi="宋体"/>
          <w:sz w:val="21"/>
          <w:highlight w:val="none"/>
          <w:lang w:val="en-US" w:eastAsia="zh-CN"/>
        </w:rPr>
        <w:t>6</w:t>
      </w:r>
      <w:r>
        <w:rPr>
          <w:rFonts w:hint="eastAsia" w:ascii="宋体" w:hAnsi="宋体"/>
          <w:sz w:val="21"/>
          <w:highlight w:val="none"/>
        </w:rPr>
        <w:t>.2</w:t>
      </w:r>
      <w:r>
        <w:rPr>
          <w:rFonts w:hint="eastAsia" w:ascii="宋体" w:hAnsi="宋体"/>
          <w:sz w:val="21"/>
          <w:highlight w:val="none"/>
        </w:rPr>
        <w:tab/>
      </w:r>
      <w:r>
        <w:rPr>
          <w:rFonts w:hint="eastAsia" w:ascii="宋体" w:hAnsi="宋体"/>
          <w:sz w:val="21"/>
          <w:highlight w:val="none"/>
        </w:rPr>
        <w:t>除在磋商文件的技术规格中另有规定外，计量单位应使用中华人民共和国法定计量单位（国际单位制和国家选定的其他计量单位）。</w:t>
      </w:r>
    </w:p>
    <w:p>
      <w:pPr>
        <w:numPr>
          <w:ilvl w:val="0"/>
          <w:numId w:val="7"/>
        </w:numPr>
        <w:adjustRightInd w:val="0"/>
        <w:snapToGrid w:val="0"/>
        <w:spacing w:line="360" w:lineRule="auto"/>
        <w:ind w:left="357" w:hanging="357"/>
        <w:rPr>
          <w:rFonts w:ascii="宋体" w:hAnsi="宋体"/>
          <w:sz w:val="21"/>
          <w:highlight w:val="none"/>
        </w:rPr>
      </w:pPr>
      <w:r>
        <w:rPr>
          <w:rFonts w:hint="eastAsia" w:ascii="宋体" w:hAnsi="宋体"/>
          <w:sz w:val="21"/>
          <w:highlight w:val="none"/>
        </w:rPr>
        <w:t>磋商响应文件的组成</w:t>
      </w:r>
    </w:p>
    <w:p>
      <w:pPr>
        <w:tabs>
          <w:tab w:val="left" w:pos="540"/>
        </w:tabs>
        <w:adjustRightInd w:val="0"/>
        <w:snapToGrid w:val="0"/>
        <w:spacing w:line="360" w:lineRule="auto"/>
        <w:ind w:left="416" w:hanging="416"/>
        <w:rPr>
          <w:rFonts w:ascii="宋体" w:hAnsi="宋体"/>
          <w:sz w:val="21"/>
          <w:highlight w:val="none"/>
        </w:rPr>
      </w:pPr>
      <w:r>
        <w:rPr>
          <w:rFonts w:hint="eastAsia" w:ascii="宋体" w:hAnsi="宋体"/>
          <w:sz w:val="21"/>
          <w:highlight w:val="none"/>
          <w:lang w:val="en-US" w:eastAsia="zh-CN"/>
        </w:rPr>
        <w:t>7</w:t>
      </w:r>
      <w:r>
        <w:rPr>
          <w:rFonts w:hint="eastAsia" w:ascii="宋体" w:hAnsi="宋体"/>
          <w:sz w:val="21"/>
          <w:highlight w:val="none"/>
        </w:rPr>
        <w:t>.1</w:t>
      </w:r>
      <w:r>
        <w:rPr>
          <w:rFonts w:hint="eastAsia" w:ascii="宋体" w:hAnsi="宋体"/>
          <w:sz w:val="21"/>
          <w:highlight w:val="none"/>
        </w:rPr>
        <w:tab/>
      </w:r>
      <w:r>
        <w:rPr>
          <w:rFonts w:hint="eastAsia" w:ascii="宋体" w:hAnsi="宋体"/>
          <w:sz w:val="21"/>
          <w:highlight w:val="none"/>
        </w:rPr>
        <w:t>磋商响应文件应包括下列部分：</w:t>
      </w:r>
    </w:p>
    <w:p>
      <w:pPr>
        <w:numPr>
          <w:ilvl w:val="0"/>
          <w:numId w:val="9"/>
        </w:numPr>
        <w:adjustRightInd w:val="0"/>
        <w:snapToGrid w:val="0"/>
        <w:spacing w:line="360" w:lineRule="auto"/>
        <w:rPr>
          <w:rFonts w:ascii="宋体" w:hAnsi="宋体" w:cs="宋体"/>
          <w:kern w:val="0"/>
          <w:sz w:val="21"/>
          <w:szCs w:val="24"/>
          <w:highlight w:val="none"/>
        </w:rPr>
      </w:pPr>
      <w:r>
        <w:rPr>
          <w:rFonts w:hint="eastAsia" w:ascii="宋体" w:hAnsi="宋体" w:cs="宋体"/>
          <w:kern w:val="0"/>
          <w:sz w:val="21"/>
          <w:szCs w:val="24"/>
          <w:highlight w:val="none"/>
          <w:lang w:eastAsia="zh-CN"/>
        </w:rPr>
        <w:t>磋商函</w:t>
      </w:r>
    </w:p>
    <w:p>
      <w:pPr>
        <w:numPr>
          <w:ilvl w:val="0"/>
          <w:numId w:val="9"/>
        </w:numPr>
        <w:adjustRightInd w:val="0"/>
        <w:snapToGrid w:val="0"/>
        <w:spacing w:line="360" w:lineRule="auto"/>
        <w:rPr>
          <w:rFonts w:ascii="宋体" w:hAnsi="宋体" w:cs="宋体"/>
          <w:kern w:val="0"/>
          <w:sz w:val="21"/>
          <w:szCs w:val="24"/>
          <w:highlight w:val="none"/>
        </w:rPr>
      </w:pPr>
      <w:r>
        <w:rPr>
          <w:rFonts w:hint="eastAsia" w:ascii="宋体" w:hAnsi="宋体" w:cs="宋体"/>
          <w:kern w:val="0"/>
          <w:sz w:val="21"/>
          <w:szCs w:val="24"/>
          <w:highlight w:val="none"/>
        </w:rPr>
        <w:t>磋商报价表</w:t>
      </w:r>
    </w:p>
    <w:p>
      <w:pPr>
        <w:numPr>
          <w:ilvl w:val="0"/>
          <w:numId w:val="9"/>
        </w:numPr>
        <w:adjustRightInd w:val="0"/>
        <w:snapToGrid w:val="0"/>
        <w:spacing w:line="360" w:lineRule="auto"/>
        <w:rPr>
          <w:rFonts w:ascii="宋体" w:hAnsi="宋体" w:cs="宋体"/>
          <w:kern w:val="0"/>
          <w:sz w:val="21"/>
          <w:szCs w:val="24"/>
          <w:highlight w:val="none"/>
        </w:rPr>
      </w:pPr>
      <w:r>
        <w:rPr>
          <w:rFonts w:hint="eastAsia" w:ascii="宋体" w:hAnsi="宋体" w:cs="宋体"/>
          <w:kern w:val="0"/>
          <w:sz w:val="21"/>
          <w:szCs w:val="24"/>
          <w:highlight w:val="none"/>
        </w:rPr>
        <w:t>分项报价表</w:t>
      </w:r>
    </w:p>
    <w:p>
      <w:pPr>
        <w:numPr>
          <w:ilvl w:val="0"/>
          <w:numId w:val="9"/>
        </w:numPr>
        <w:adjustRightInd w:val="0"/>
        <w:snapToGrid w:val="0"/>
        <w:spacing w:line="360" w:lineRule="auto"/>
        <w:rPr>
          <w:rFonts w:ascii="宋体" w:hAnsi="宋体" w:cs="宋体"/>
          <w:kern w:val="0"/>
          <w:sz w:val="21"/>
          <w:szCs w:val="24"/>
          <w:highlight w:val="none"/>
        </w:rPr>
      </w:pPr>
      <w:r>
        <w:rPr>
          <w:rFonts w:hint="eastAsia" w:ascii="宋体" w:hAnsi="宋体" w:cs="宋体"/>
          <w:kern w:val="0"/>
          <w:sz w:val="21"/>
          <w:szCs w:val="24"/>
          <w:highlight w:val="none"/>
        </w:rPr>
        <w:t>需求理解</w:t>
      </w:r>
    </w:p>
    <w:p>
      <w:pPr>
        <w:numPr>
          <w:ilvl w:val="0"/>
          <w:numId w:val="9"/>
        </w:numPr>
        <w:adjustRightInd w:val="0"/>
        <w:snapToGrid w:val="0"/>
        <w:spacing w:line="360" w:lineRule="auto"/>
        <w:rPr>
          <w:rFonts w:ascii="宋体" w:hAnsi="宋体" w:cs="宋体"/>
          <w:kern w:val="0"/>
          <w:sz w:val="21"/>
          <w:szCs w:val="24"/>
          <w:highlight w:val="none"/>
        </w:rPr>
      </w:pPr>
      <w:r>
        <w:rPr>
          <w:rFonts w:hint="eastAsia" w:ascii="宋体" w:hAnsi="宋体" w:cs="宋体"/>
          <w:kern w:val="0"/>
          <w:sz w:val="21"/>
          <w:szCs w:val="24"/>
          <w:highlight w:val="none"/>
          <w:lang w:val="en-US" w:eastAsia="zh-CN"/>
        </w:rPr>
        <w:t>服务方案</w:t>
      </w:r>
    </w:p>
    <w:p>
      <w:pPr>
        <w:numPr>
          <w:ilvl w:val="0"/>
          <w:numId w:val="9"/>
        </w:numPr>
        <w:adjustRightInd w:val="0"/>
        <w:snapToGrid w:val="0"/>
        <w:spacing w:line="360" w:lineRule="auto"/>
        <w:rPr>
          <w:rFonts w:ascii="宋体" w:hAnsi="宋体" w:cs="宋体"/>
          <w:kern w:val="0"/>
          <w:sz w:val="21"/>
          <w:szCs w:val="24"/>
          <w:highlight w:val="none"/>
        </w:rPr>
      </w:pPr>
      <w:r>
        <w:rPr>
          <w:rFonts w:hint="eastAsia" w:ascii="宋体" w:hAnsi="宋体" w:cs="宋体"/>
          <w:kern w:val="0"/>
          <w:sz w:val="21"/>
          <w:szCs w:val="24"/>
          <w:highlight w:val="none"/>
        </w:rPr>
        <w:t>服务团队情况</w:t>
      </w:r>
    </w:p>
    <w:p>
      <w:pPr>
        <w:numPr>
          <w:ilvl w:val="0"/>
          <w:numId w:val="9"/>
        </w:numPr>
        <w:adjustRightInd w:val="0"/>
        <w:snapToGrid w:val="0"/>
        <w:spacing w:line="360" w:lineRule="auto"/>
        <w:rPr>
          <w:rFonts w:ascii="宋体" w:hAnsi="宋体" w:cs="宋体"/>
          <w:kern w:val="0"/>
          <w:sz w:val="21"/>
          <w:szCs w:val="24"/>
          <w:highlight w:val="none"/>
        </w:rPr>
      </w:pPr>
      <w:r>
        <w:rPr>
          <w:rFonts w:hint="eastAsia" w:ascii="宋体" w:hAnsi="宋体" w:cs="宋体"/>
          <w:kern w:val="0"/>
          <w:sz w:val="21"/>
          <w:szCs w:val="24"/>
          <w:highlight w:val="none"/>
          <w:lang w:eastAsia="zh-CN"/>
        </w:rPr>
        <w:t>类似项目业绩情况表</w:t>
      </w:r>
      <w:r>
        <w:rPr>
          <w:rFonts w:hint="eastAsia" w:ascii="宋体" w:hAnsi="宋体" w:cs="宋体"/>
          <w:kern w:val="0"/>
          <w:sz w:val="21"/>
          <w:szCs w:val="24"/>
          <w:highlight w:val="none"/>
        </w:rPr>
        <w:t>（附合同复印件）</w:t>
      </w:r>
    </w:p>
    <w:p>
      <w:pPr>
        <w:numPr>
          <w:ilvl w:val="0"/>
          <w:numId w:val="9"/>
        </w:numPr>
        <w:adjustRightInd w:val="0"/>
        <w:snapToGrid w:val="0"/>
        <w:spacing w:line="360" w:lineRule="auto"/>
        <w:rPr>
          <w:rFonts w:ascii="宋体" w:hAnsi="宋体" w:cs="宋体"/>
          <w:kern w:val="0"/>
          <w:sz w:val="21"/>
          <w:szCs w:val="24"/>
          <w:highlight w:val="none"/>
        </w:rPr>
      </w:pPr>
      <w:r>
        <w:rPr>
          <w:rFonts w:hint="eastAsia" w:ascii="宋体" w:hAnsi="宋体" w:cs="宋体"/>
          <w:kern w:val="0"/>
          <w:sz w:val="21"/>
          <w:szCs w:val="24"/>
          <w:highlight w:val="none"/>
        </w:rPr>
        <w:t>响应供应商基本情况表</w:t>
      </w:r>
    </w:p>
    <w:p>
      <w:pPr>
        <w:numPr>
          <w:ilvl w:val="0"/>
          <w:numId w:val="9"/>
        </w:numPr>
        <w:adjustRightInd w:val="0"/>
        <w:snapToGrid w:val="0"/>
        <w:spacing w:line="360" w:lineRule="auto"/>
        <w:rPr>
          <w:rFonts w:ascii="宋体" w:hAnsi="宋体" w:cs="宋体"/>
          <w:kern w:val="0"/>
          <w:sz w:val="21"/>
          <w:szCs w:val="24"/>
          <w:highlight w:val="none"/>
        </w:rPr>
      </w:pPr>
      <w:r>
        <w:rPr>
          <w:rFonts w:hint="eastAsia" w:ascii="宋体" w:hAnsi="宋体" w:cs="宋体"/>
          <w:kern w:val="0"/>
          <w:sz w:val="21"/>
          <w:szCs w:val="24"/>
          <w:highlight w:val="none"/>
        </w:rPr>
        <w:t>法定代表人授权书</w:t>
      </w:r>
    </w:p>
    <w:p>
      <w:pPr>
        <w:numPr>
          <w:ilvl w:val="0"/>
          <w:numId w:val="9"/>
        </w:numPr>
        <w:adjustRightInd w:val="0"/>
        <w:snapToGrid w:val="0"/>
        <w:spacing w:line="360" w:lineRule="auto"/>
        <w:rPr>
          <w:rFonts w:ascii="宋体" w:hAnsi="宋体" w:cs="宋体"/>
          <w:kern w:val="0"/>
          <w:sz w:val="21"/>
          <w:szCs w:val="24"/>
          <w:highlight w:val="none"/>
        </w:rPr>
      </w:pPr>
      <w:r>
        <w:rPr>
          <w:rFonts w:hint="eastAsia" w:ascii="宋体" w:hAnsi="宋体" w:cs="宋体"/>
          <w:kern w:val="0"/>
          <w:sz w:val="21"/>
          <w:szCs w:val="24"/>
          <w:highlight w:val="none"/>
        </w:rPr>
        <w:t>声明函</w:t>
      </w:r>
    </w:p>
    <w:p>
      <w:pPr>
        <w:numPr>
          <w:ilvl w:val="0"/>
          <w:numId w:val="9"/>
        </w:numPr>
        <w:adjustRightInd w:val="0"/>
        <w:snapToGrid w:val="0"/>
        <w:spacing w:line="360" w:lineRule="auto"/>
        <w:rPr>
          <w:rFonts w:ascii="宋体" w:hAnsi="宋体" w:cs="宋体"/>
          <w:kern w:val="0"/>
          <w:sz w:val="21"/>
          <w:szCs w:val="24"/>
          <w:highlight w:val="none"/>
        </w:rPr>
      </w:pPr>
      <w:r>
        <w:rPr>
          <w:rFonts w:hint="eastAsia" w:ascii="宋体" w:hAnsi="宋体" w:cs="宋体"/>
          <w:kern w:val="0"/>
          <w:sz w:val="21"/>
          <w:szCs w:val="24"/>
          <w:highlight w:val="none"/>
        </w:rPr>
        <w:t>财务状况及税收、社会保障资金缴纳情况声明函</w:t>
      </w:r>
    </w:p>
    <w:p>
      <w:pPr>
        <w:numPr>
          <w:ilvl w:val="0"/>
          <w:numId w:val="9"/>
        </w:numPr>
        <w:adjustRightInd w:val="0"/>
        <w:snapToGrid w:val="0"/>
        <w:spacing w:line="360" w:lineRule="auto"/>
        <w:rPr>
          <w:rFonts w:ascii="宋体" w:hAnsi="宋体" w:cs="宋体"/>
          <w:kern w:val="0"/>
          <w:sz w:val="21"/>
          <w:szCs w:val="24"/>
          <w:highlight w:val="none"/>
        </w:rPr>
      </w:pPr>
      <w:r>
        <w:rPr>
          <w:rFonts w:hint="eastAsia" w:ascii="宋体" w:hAnsi="宋体" w:cs="宋体"/>
          <w:kern w:val="0"/>
          <w:sz w:val="21"/>
          <w:szCs w:val="24"/>
          <w:highlight w:val="none"/>
          <w:lang w:val="en-US" w:eastAsia="zh-CN"/>
        </w:rPr>
        <w:t>中小企业声明函</w:t>
      </w:r>
    </w:p>
    <w:p>
      <w:pPr>
        <w:numPr>
          <w:ilvl w:val="0"/>
          <w:numId w:val="9"/>
        </w:numPr>
        <w:adjustRightInd w:val="0"/>
        <w:snapToGrid w:val="0"/>
        <w:spacing w:line="360" w:lineRule="auto"/>
        <w:rPr>
          <w:rFonts w:ascii="宋体" w:hAnsi="宋体" w:cs="宋体"/>
          <w:kern w:val="0"/>
          <w:sz w:val="21"/>
          <w:szCs w:val="24"/>
          <w:highlight w:val="none"/>
        </w:rPr>
      </w:pPr>
      <w:r>
        <w:rPr>
          <w:rFonts w:hint="eastAsia" w:ascii="宋体" w:hAnsi="宋体" w:cs="宋体"/>
          <w:kern w:val="0"/>
          <w:sz w:val="21"/>
          <w:szCs w:val="24"/>
          <w:highlight w:val="none"/>
        </w:rPr>
        <w:t>法人或者其他组织的营业执照等证明文件，自然人的身份证明文件及相关资质证书等与本次采购内容相关的资质/资格证明文件情况等</w:t>
      </w:r>
    </w:p>
    <w:p>
      <w:pPr>
        <w:numPr>
          <w:ilvl w:val="0"/>
          <w:numId w:val="9"/>
        </w:numPr>
        <w:adjustRightInd w:val="0"/>
        <w:snapToGrid w:val="0"/>
        <w:spacing w:line="360" w:lineRule="auto"/>
        <w:rPr>
          <w:rFonts w:ascii="宋体" w:hAnsi="宋体" w:cs="宋体"/>
          <w:kern w:val="0"/>
          <w:sz w:val="21"/>
          <w:szCs w:val="24"/>
          <w:highlight w:val="none"/>
        </w:rPr>
      </w:pPr>
      <w:r>
        <w:rPr>
          <w:rFonts w:hint="eastAsia" w:ascii="宋体" w:hAnsi="宋体" w:cs="宋体"/>
          <w:kern w:val="0"/>
          <w:sz w:val="21"/>
          <w:szCs w:val="24"/>
          <w:highlight w:val="none"/>
        </w:rPr>
        <w:t>其他相关资料（磋商文件未要求，响应供应商认为应提供的相关资料）</w:t>
      </w:r>
    </w:p>
    <w:p>
      <w:pPr>
        <w:numPr>
          <w:ilvl w:val="0"/>
          <w:numId w:val="9"/>
        </w:numPr>
        <w:adjustRightInd w:val="0"/>
        <w:snapToGrid w:val="0"/>
        <w:spacing w:line="360" w:lineRule="auto"/>
        <w:rPr>
          <w:rFonts w:ascii="宋体" w:hAnsi="宋体"/>
          <w:sz w:val="21"/>
          <w:highlight w:val="none"/>
        </w:rPr>
      </w:pPr>
      <w:r>
        <w:rPr>
          <w:rFonts w:hint="eastAsia" w:ascii="宋体" w:hAnsi="宋体"/>
          <w:sz w:val="21"/>
          <w:highlight w:val="none"/>
        </w:rPr>
        <w:t>“信用中国”网站（www.creditchina.gov.cn）“失信被执行人”查询结果及“重大税收违法案件”查询结果、中国政府采购网（www.ccgp.gov.cn）政府采购严重违法失信名单查询结果页面截图（页面须附系统时间，日期为采购公告发布之日后）</w:t>
      </w:r>
    </w:p>
    <w:p>
      <w:pPr>
        <w:numPr>
          <w:ilvl w:val="0"/>
          <w:numId w:val="0"/>
        </w:numPr>
        <w:adjustRightInd w:val="0"/>
        <w:snapToGrid w:val="0"/>
        <w:spacing w:line="360" w:lineRule="auto"/>
        <w:ind w:leftChars="0"/>
        <w:rPr>
          <w:rFonts w:ascii="宋体" w:hAnsi="宋体"/>
          <w:sz w:val="21"/>
          <w:highlight w:val="none"/>
        </w:rPr>
      </w:pPr>
    </w:p>
    <w:p>
      <w:pPr>
        <w:numPr>
          <w:ilvl w:val="0"/>
          <w:numId w:val="7"/>
        </w:numPr>
        <w:adjustRightInd w:val="0"/>
        <w:snapToGrid w:val="0"/>
        <w:spacing w:line="360" w:lineRule="auto"/>
        <w:ind w:left="357" w:hanging="357"/>
        <w:rPr>
          <w:rFonts w:ascii="宋体" w:hAnsi="宋体"/>
          <w:sz w:val="21"/>
          <w:highlight w:val="none"/>
        </w:rPr>
      </w:pPr>
      <w:r>
        <w:rPr>
          <w:rFonts w:hint="eastAsia" w:ascii="宋体" w:hAnsi="宋体"/>
          <w:sz w:val="21"/>
          <w:highlight w:val="none"/>
        </w:rPr>
        <w:t>磋商响应文件格式</w:t>
      </w:r>
    </w:p>
    <w:p>
      <w:pPr>
        <w:tabs>
          <w:tab w:val="left" w:pos="540"/>
        </w:tabs>
        <w:adjustRightInd w:val="0"/>
        <w:snapToGrid w:val="0"/>
        <w:spacing w:line="360" w:lineRule="auto"/>
        <w:ind w:left="416" w:hanging="416"/>
        <w:rPr>
          <w:rFonts w:ascii="宋体" w:hAnsi="宋体"/>
          <w:kern w:val="0"/>
          <w:sz w:val="21"/>
          <w:highlight w:val="none"/>
        </w:rPr>
      </w:pPr>
      <w:r>
        <w:rPr>
          <w:rFonts w:hint="eastAsia" w:ascii="宋体" w:hAnsi="宋体"/>
          <w:kern w:val="0"/>
          <w:sz w:val="21"/>
          <w:highlight w:val="none"/>
          <w:lang w:val="en-US" w:eastAsia="zh-CN"/>
        </w:rPr>
        <w:t>8</w:t>
      </w:r>
      <w:r>
        <w:rPr>
          <w:rFonts w:hint="eastAsia" w:ascii="宋体" w:hAnsi="宋体"/>
          <w:kern w:val="0"/>
          <w:sz w:val="21"/>
          <w:highlight w:val="none"/>
        </w:rPr>
        <w:t>.1</w:t>
      </w:r>
      <w:r>
        <w:rPr>
          <w:rFonts w:hint="eastAsia" w:ascii="宋体" w:hAnsi="宋体"/>
          <w:kern w:val="0"/>
          <w:sz w:val="21"/>
          <w:highlight w:val="none"/>
        </w:rPr>
        <w:tab/>
      </w:r>
      <w:r>
        <w:rPr>
          <w:rFonts w:hint="eastAsia" w:ascii="宋体" w:hAnsi="宋体"/>
          <w:kern w:val="0"/>
          <w:sz w:val="21"/>
          <w:highlight w:val="none"/>
        </w:rPr>
        <w:t>响应供应商应按照磋商文件中提供的磋商响应文件格式填写。</w:t>
      </w:r>
    </w:p>
    <w:p>
      <w:pPr>
        <w:numPr>
          <w:ilvl w:val="0"/>
          <w:numId w:val="7"/>
        </w:numPr>
        <w:adjustRightInd w:val="0"/>
        <w:snapToGrid w:val="0"/>
        <w:spacing w:line="360" w:lineRule="auto"/>
        <w:ind w:left="357" w:hanging="357"/>
        <w:rPr>
          <w:rFonts w:ascii="宋体" w:hAnsi="宋体"/>
          <w:sz w:val="21"/>
          <w:highlight w:val="none"/>
        </w:rPr>
      </w:pPr>
      <w:r>
        <w:rPr>
          <w:rFonts w:hint="eastAsia" w:ascii="宋体" w:hAnsi="宋体"/>
          <w:sz w:val="21"/>
          <w:highlight w:val="none"/>
        </w:rPr>
        <w:t>磋商报价</w:t>
      </w:r>
    </w:p>
    <w:p>
      <w:pPr>
        <w:overflowPunct w:val="0"/>
        <w:adjustRightInd w:val="0"/>
        <w:snapToGrid w:val="0"/>
        <w:spacing w:line="360" w:lineRule="auto"/>
        <w:ind w:left="416" w:hanging="416"/>
        <w:rPr>
          <w:rFonts w:ascii="宋体" w:hAnsi="宋体"/>
          <w:sz w:val="21"/>
          <w:highlight w:val="none"/>
        </w:rPr>
      </w:pPr>
      <w:r>
        <w:rPr>
          <w:rFonts w:hint="eastAsia" w:ascii="宋体" w:hAnsi="宋体"/>
          <w:sz w:val="21"/>
          <w:highlight w:val="none"/>
          <w:lang w:val="en-US" w:eastAsia="zh-CN"/>
        </w:rPr>
        <w:t>9</w:t>
      </w:r>
      <w:r>
        <w:rPr>
          <w:rFonts w:hint="eastAsia" w:ascii="宋体" w:hAnsi="宋体"/>
          <w:sz w:val="21"/>
          <w:highlight w:val="none"/>
        </w:rPr>
        <w:t>.1响应供应商应在磋商文件所附的报价价格表上写明标的物的单价及所报总价。如单价与总价有出入，以单价为准。响应供应商对每种标的物只允许有一个报价，磋商小组不接受有任何选择的报价。</w:t>
      </w:r>
    </w:p>
    <w:p>
      <w:pPr>
        <w:adjustRightInd w:val="0"/>
        <w:snapToGrid w:val="0"/>
        <w:spacing w:line="360" w:lineRule="auto"/>
        <w:ind w:left="416" w:hanging="416"/>
        <w:rPr>
          <w:rFonts w:ascii="宋体" w:hAnsi="宋体"/>
          <w:sz w:val="21"/>
          <w:highlight w:val="none"/>
        </w:rPr>
      </w:pPr>
      <w:r>
        <w:rPr>
          <w:rFonts w:hint="eastAsia" w:ascii="宋体" w:hAnsi="宋体"/>
          <w:sz w:val="21"/>
          <w:highlight w:val="none"/>
          <w:lang w:val="en-US" w:eastAsia="zh-CN"/>
        </w:rPr>
        <w:t>9</w:t>
      </w:r>
      <w:r>
        <w:rPr>
          <w:rFonts w:hint="eastAsia" w:ascii="宋体" w:hAnsi="宋体"/>
          <w:sz w:val="21"/>
          <w:highlight w:val="none"/>
        </w:rPr>
        <w:t>.2响应供应商按要求填写报价供磋商小组评判方便，但不限制买方以其他方式签订合同的权力。</w:t>
      </w:r>
    </w:p>
    <w:p>
      <w:pPr>
        <w:numPr>
          <w:ilvl w:val="0"/>
          <w:numId w:val="7"/>
        </w:numPr>
        <w:adjustRightInd w:val="0"/>
        <w:snapToGrid w:val="0"/>
        <w:spacing w:line="360" w:lineRule="auto"/>
        <w:ind w:left="357" w:hanging="357"/>
        <w:rPr>
          <w:rFonts w:ascii="宋体" w:hAnsi="宋体"/>
          <w:sz w:val="21"/>
          <w:highlight w:val="none"/>
        </w:rPr>
      </w:pPr>
      <w:r>
        <w:rPr>
          <w:rFonts w:hint="eastAsia" w:ascii="宋体" w:hAnsi="宋体"/>
          <w:sz w:val="21"/>
          <w:highlight w:val="none"/>
        </w:rPr>
        <w:t>报价货币</w:t>
      </w:r>
    </w:p>
    <w:p>
      <w:pPr>
        <w:adjustRightInd w:val="0"/>
        <w:snapToGrid w:val="0"/>
        <w:spacing w:line="360" w:lineRule="auto"/>
        <w:rPr>
          <w:rFonts w:ascii="宋体" w:hAnsi="宋体"/>
          <w:kern w:val="0"/>
          <w:sz w:val="21"/>
          <w:highlight w:val="none"/>
        </w:rPr>
      </w:pPr>
      <w:r>
        <w:rPr>
          <w:rFonts w:hint="eastAsia" w:ascii="宋体" w:hAnsi="宋体"/>
          <w:kern w:val="0"/>
          <w:sz w:val="21"/>
          <w:highlight w:val="none"/>
          <w:lang w:val="en-US" w:eastAsia="zh-CN"/>
        </w:rPr>
        <w:t>10</w:t>
      </w:r>
      <w:r>
        <w:rPr>
          <w:rFonts w:hint="eastAsia" w:ascii="宋体" w:hAnsi="宋体"/>
          <w:kern w:val="0"/>
          <w:sz w:val="21"/>
          <w:highlight w:val="none"/>
        </w:rPr>
        <w:t>.1报价一律用人民币填报。</w:t>
      </w:r>
    </w:p>
    <w:p>
      <w:pPr>
        <w:numPr>
          <w:ilvl w:val="0"/>
          <w:numId w:val="7"/>
        </w:numPr>
        <w:adjustRightInd w:val="0"/>
        <w:snapToGrid w:val="0"/>
        <w:spacing w:line="360" w:lineRule="auto"/>
        <w:ind w:left="357" w:hanging="357"/>
        <w:rPr>
          <w:rFonts w:ascii="宋体" w:hAnsi="宋体"/>
          <w:sz w:val="21"/>
          <w:highlight w:val="none"/>
        </w:rPr>
      </w:pPr>
      <w:r>
        <w:rPr>
          <w:rFonts w:hint="eastAsia" w:ascii="宋体" w:hAnsi="宋体"/>
          <w:sz w:val="21"/>
          <w:highlight w:val="none"/>
        </w:rPr>
        <w:t>响应供应商资格证明文件</w:t>
      </w:r>
    </w:p>
    <w:p>
      <w:pPr>
        <w:tabs>
          <w:tab w:val="left" w:pos="426"/>
        </w:tabs>
        <w:adjustRightInd w:val="0"/>
        <w:snapToGrid w:val="0"/>
        <w:spacing w:line="360" w:lineRule="auto"/>
        <w:rPr>
          <w:rFonts w:ascii="宋体" w:hAnsi="宋体"/>
          <w:sz w:val="21"/>
          <w:highlight w:val="none"/>
        </w:rPr>
      </w:pPr>
      <w:r>
        <w:rPr>
          <w:rFonts w:hint="eastAsia" w:ascii="宋体" w:hAnsi="宋体"/>
          <w:sz w:val="21"/>
          <w:highlight w:val="none"/>
          <w:lang w:val="en-US" w:eastAsia="zh-CN"/>
        </w:rPr>
        <w:t>11</w:t>
      </w:r>
      <w:r>
        <w:rPr>
          <w:rFonts w:hint="eastAsia" w:ascii="宋体" w:hAnsi="宋体"/>
          <w:sz w:val="21"/>
          <w:highlight w:val="none"/>
        </w:rPr>
        <w:t>.1</w:t>
      </w:r>
      <w:r>
        <w:rPr>
          <w:rFonts w:hint="eastAsia" w:ascii="宋体" w:hAnsi="宋体"/>
          <w:sz w:val="21"/>
          <w:highlight w:val="none"/>
        </w:rPr>
        <w:tab/>
      </w:r>
      <w:r>
        <w:rPr>
          <w:rFonts w:hint="eastAsia" w:ascii="宋体" w:hAnsi="宋体"/>
          <w:sz w:val="21"/>
          <w:highlight w:val="none"/>
        </w:rPr>
        <w:t>响应供应商提交证明其有资格进行响应和有能力履行合同的文件，作为响应文件的一部分。</w:t>
      </w:r>
    </w:p>
    <w:p>
      <w:pPr>
        <w:numPr>
          <w:ilvl w:val="0"/>
          <w:numId w:val="10"/>
        </w:numPr>
        <w:tabs>
          <w:tab w:val="left" w:pos="426"/>
        </w:tabs>
        <w:adjustRightInd w:val="0"/>
        <w:snapToGrid w:val="0"/>
        <w:spacing w:line="360" w:lineRule="auto"/>
        <w:ind w:left="424" w:hanging="424" w:hangingChars="202"/>
        <w:rPr>
          <w:rFonts w:ascii="宋体" w:hAnsi="宋体"/>
          <w:sz w:val="21"/>
          <w:highlight w:val="none"/>
          <w:u w:val="none"/>
        </w:rPr>
      </w:pPr>
      <w:r>
        <w:rPr>
          <w:rFonts w:hint="eastAsia" w:ascii="宋体" w:hAnsi="宋体"/>
          <w:sz w:val="21"/>
          <w:highlight w:val="none"/>
          <w:u w:val="none"/>
        </w:rPr>
        <w:t>响应供应商履行合同所需的财务</w:t>
      </w:r>
      <w:r>
        <w:rPr>
          <w:rFonts w:ascii="宋体" w:hAnsi="宋体"/>
          <w:sz w:val="21"/>
          <w:highlight w:val="none"/>
          <w:u w:val="none"/>
        </w:rPr>
        <w:t>、</w:t>
      </w:r>
      <w:r>
        <w:rPr>
          <w:rFonts w:hint="eastAsia" w:ascii="宋体" w:hAnsi="宋体"/>
          <w:sz w:val="21"/>
          <w:highlight w:val="none"/>
          <w:u w:val="none"/>
        </w:rPr>
        <w:t>服务能力；</w:t>
      </w:r>
    </w:p>
    <w:p>
      <w:pPr>
        <w:numPr>
          <w:ilvl w:val="0"/>
          <w:numId w:val="10"/>
        </w:numPr>
        <w:tabs>
          <w:tab w:val="left" w:pos="426"/>
        </w:tabs>
        <w:adjustRightInd w:val="0"/>
        <w:snapToGrid w:val="0"/>
        <w:spacing w:line="360" w:lineRule="auto"/>
        <w:ind w:left="424" w:hanging="424" w:hangingChars="202"/>
        <w:rPr>
          <w:rFonts w:ascii="宋体" w:hAnsi="宋体"/>
          <w:sz w:val="21"/>
          <w:highlight w:val="none"/>
          <w:u w:val="none"/>
        </w:rPr>
      </w:pPr>
      <w:r>
        <w:rPr>
          <w:rFonts w:hint="eastAsia" w:ascii="宋体" w:hAnsi="宋体"/>
          <w:sz w:val="21"/>
          <w:highlight w:val="none"/>
          <w:u w:val="none"/>
        </w:rPr>
        <w:t>响应供应商应有能力履行磋商文件中合同条款和技术要求规定的由响应供应商履行的保养、维修、供应备件和其他技术服务的义务；</w:t>
      </w:r>
    </w:p>
    <w:p>
      <w:pPr>
        <w:numPr>
          <w:ilvl w:val="0"/>
          <w:numId w:val="10"/>
        </w:numPr>
        <w:tabs>
          <w:tab w:val="left" w:pos="426"/>
        </w:tabs>
        <w:adjustRightInd w:val="0"/>
        <w:snapToGrid w:val="0"/>
        <w:spacing w:line="360" w:lineRule="auto"/>
        <w:ind w:left="0" w:firstLine="0"/>
        <w:rPr>
          <w:rFonts w:ascii="宋体" w:hAnsi="宋体"/>
          <w:sz w:val="21"/>
          <w:highlight w:val="none"/>
          <w:u w:val="none"/>
        </w:rPr>
      </w:pPr>
      <w:r>
        <w:rPr>
          <w:rFonts w:hint="eastAsia" w:ascii="宋体" w:hAnsi="宋体"/>
          <w:sz w:val="21"/>
          <w:highlight w:val="none"/>
          <w:u w:val="none"/>
        </w:rPr>
        <w:t>响应供应商的资质</w:t>
      </w:r>
      <w:r>
        <w:rPr>
          <w:rFonts w:ascii="宋体" w:hAnsi="宋体"/>
          <w:sz w:val="21"/>
          <w:highlight w:val="none"/>
          <w:u w:val="none"/>
        </w:rPr>
        <w:t>、</w:t>
      </w:r>
      <w:r>
        <w:rPr>
          <w:rFonts w:hint="eastAsia" w:ascii="宋体" w:hAnsi="宋体"/>
          <w:sz w:val="21"/>
          <w:highlight w:val="none"/>
          <w:u w:val="none"/>
        </w:rPr>
        <w:t>证明。</w:t>
      </w:r>
    </w:p>
    <w:p>
      <w:pPr>
        <w:numPr>
          <w:ilvl w:val="0"/>
          <w:numId w:val="7"/>
        </w:numPr>
        <w:adjustRightInd w:val="0"/>
        <w:snapToGrid w:val="0"/>
        <w:spacing w:line="360" w:lineRule="auto"/>
        <w:ind w:left="357" w:hanging="357"/>
        <w:rPr>
          <w:rFonts w:ascii="宋体" w:hAnsi="宋体"/>
          <w:sz w:val="21"/>
          <w:highlight w:val="none"/>
        </w:rPr>
      </w:pPr>
      <w:r>
        <w:rPr>
          <w:rFonts w:hint="eastAsia" w:ascii="宋体" w:hAnsi="宋体"/>
          <w:sz w:val="21"/>
          <w:highlight w:val="none"/>
        </w:rPr>
        <w:t>磋商标的物符合磋商文件规定的技术响应文件</w:t>
      </w:r>
    </w:p>
    <w:p>
      <w:pPr>
        <w:adjustRightInd w:val="0"/>
        <w:snapToGrid w:val="0"/>
        <w:spacing w:line="360" w:lineRule="auto"/>
        <w:rPr>
          <w:rFonts w:ascii="宋体" w:hAnsi="宋体"/>
          <w:sz w:val="21"/>
          <w:highlight w:val="none"/>
        </w:rPr>
      </w:pPr>
      <w:r>
        <w:rPr>
          <w:rFonts w:hint="eastAsia" w:ascii="宋体" w:hAnsi="宋体"/>
          <w:sz w:val="21"/>
          <w:highlight w:val="none"/>
        </w:rPr>
        <w:t>1</w:t>
      </w:r>
      <w:r>
        <w:rPr>
          <w:rFonts w:hint="eastAsia" w:ascii="宋体" w:hAnsi="宋体"/>
          <w:sz w:val="21"/>
          <w:highlight w:val="none"/>
          <w:lang w:val="en-US" w:eastAsia="zh-CN"/>
        </w:rPr>
        <w:t>2</w:t>
      </w:r>
      <w:r>
        <w:rPr>
          <w:rFonts w:hint="eastAsia" w:ascii="宋体" w:hAnsi="宋体"/>
          <w:sz w:val="21"/>
          <w:highlight w:val="none"/>
        </w:rPr>
        <w:t>.1响应供应商提交证明其提供安装</w:t>
      </w:r>
      <w:r>
        <w:rPr>
          <w:rFonts w:ascii="宋体" w:hAnsi="宋体"/>
          <w:sz w:val="21"/>
          <w:highlight w:val="none"/>
        </w:rPr>
        <w:t>、</w:t>
      </w:r>
      <w:r>
        <w:rPr>
          <w:rFonts w:hint="eastAsia" w:ascii="宋体" w:hAnsi="宋体"/>
          <w:sz w:val="21"/>
          <w:highlight w:val="none"/>
        </w:rPr>
        <w:t>调试等其它相关服务符合磋商文件规定的技术响应文件，作为响应文件的一部分。</w:t>
      </w:r>
    </w:p>
    <w:p>
      <w:pPr>
        <w:adjustRightInd w:val="0"/>
        <w:snapToGrid w:val="0"/>
        <w:spacing w:line="360" w:lineRule="auto"/>
        <w:rPr>
          <w:rFonts w:ascii="宋体" w:hAnsi="宋体"/>
          <w:sz w:val="21"/>
          <w:highlight w:val="none"/>
        </w:rPr>
      </w:pPr>
      <w:r>
        <w:rPr>
          <w:rFonts w:hint="eastAsia" w:ascii="宋体" w:hAnsi="宋体"/>
          <w:sz w:val="21"/>
          <w:highlight w:val="none"/>
        </w:rPr>
        <w:t>1</w:t>
      </w:r>
      <w:r>
        <w:rPr>
          <w:rFonts w:hint="eastAsia" w:ascii="宋体" w:hAnsi="宋体"/>
          <w:sz w:val="21"/>
          <w:highlight w:val="none"/>
          <w:lang w:val="en-US" w:eastAsia="zh-CN"/>
        </w:rPr>
        <w:t>2</w:t>
      </w:r>
      <w:r>
        <w:rPr>
          <w:rFonts w:hint="eastAsia" w:ascii="宋体" w:hAnsi="宋体"/>
          <w:sz w:val="21"/>
          <w:highlight w:val="none"/>
        </w:rPr>
        <w:t>.2上述文件可以是文字资料、图纸和数据，并提供：服务方案的详细描述。</w:t>
      </w:r>
    </w:p>
    <w:p>
      <w:pPr>
        <w:numPr>
          <w:ilvl w:val="0"/>
          <w:numId w:val="7"/>
        </w:numPr>
        <w:adjustRightInd w:val="0"/>
        <w:snapToGrid w:val="0"/>
        <w:spacing w:line="360" w:lineRule="auto"/>
        <w:ind w:left="357" w:hanging="357"/>
        <w:rPr>
          <w:rFonts w:ascii="宋体" w:hAnsi="宋体"/>
          <w:sz w:val="21"/>
          <w:highlight w:val="none"/>
        </w:rPr>
      </w:pPr>
      <w:r>
        <w:rPr>
          <w:rFonts w:hint="eastAsia" w:ascii="宋体" w:hAnsi="宋体"/>
          <w:sz w:val="21"/>
          <w:highlight w:val="none"/>
        </w:rPr>
        <w:t>磋商保证金</w:t>
      </w:r>
    </w:p>
    <w:p>
      <w:pPr>
        <w:adjustRightInd w:val="0"/>
        <w:snapToGrid w:val="0"/>
        <w:spacing w:line="360" w:lineRule="auto"/>
        <w:ind w:left="357"/>
        <w:rPr>
          <w:rFonts w:ascii="宋体" w:hAnsi="宋体"/>
          <w:sz w:val="21"/>
          <w:highlight w:val="none"/>
        </w:rPr>
      </w:pPr>
      <w:r>
        <w:rPr>
          <w:rFonts w:ascii="宋体" w:hAnsi="宋体"/>
          <w:sz w:val="21"/>
          <w:highlight w:val="none"/>
        </w:rPr>
        <w:t>1</w:t>
      </w:r>
      <w:r>
        <w:rPr>
          <w:rFonts w:hint="eastAsia" w:ascii="宋体" w:hAnsi="宋体"/>
          <w:sz w:val="21"/>
          <w:highlight w:val="none"/>
          <w:lang w:val="en-US" w:eastAsia="zh-CN"/>
        </w:rPr>
        <w:t>3</w:t>
      </w:r>
      <w:r>
        <w:rPr>
          <w:rFonts w:ascii="宋体" w:hAnsi="宋体"/>
          <w:sz w:val="21"/>
          <w:highlight w:val="none"/>
        </w:rPr>
        <w:t xml:space="preserve">.1 </w:t>
      </w:r>
      <w:r>
        <w:rPr>
          <w:rFonts w:hint="eastAsia" w:ascii="宋体" w:hAnsi="宋体"/>
          <w:sz w:val="21"/>
          <w:highlight w:val="none"/>
        </w:rPr>
        <w:t>保证金为响应文件的组成部分之一。</w:t>
      </w:r>
    </w:p>
    <w:p>
      <w:pPr>
        <w:adjustRightInd w:val="0"/>
        <w:snapToGrid w:val="0"/>
        <w:spacing w:line="360" w:lineRule="auto"/>
        <w:ind w:left="357"/>
        <w:rPr>
          <w:rFonts w:ascii="宋体" w:hAnsi="宋体"/>
          <w:b/>
          <w:bCs/>
          <w:sz w:val="21"/>
          <w:highlight w:val="none"/>
        </w:rPr>
      </w:pPr>
      <w:r>
        <w:rPr>
          <w:rFonts w:ascii="宋体" w:hAnsi="宋体"/>
          <w:sz w:val="21"/>
          <w:highlight w:val="none"/>
        </w:rPr>
        <w:t>1</w:t>
      </w:r>
      <w:r>
        <w:rPr>
          <w:rFonts w:hint="eastAsia" w:ascii="宋体" w:hAnsi="宋体"/>
          <w:sz w:val="21"/>
          <w:highlight w:val="none"/>
          <w:lang w:val="en-US" w:eastAsia="zh-CN"/>
        </w:rPr>
        <w:t>3</w:t>
      </w:r>
      <w:r>
        <w:rPr>
          <w:rFonts w:ascii="宋体" w:hAnsi="宋体"/>
          <w:sz w:val="21"/>
          <w:highlight w:val="none"/>
        </w:rPr>
        <w:t xml:space="preserve">.2 </w:t>
      </w:r>
      <w:r>
        <w:rPr>
          <w:rFonts w:hint="eastAsia" w:ascii="宋体" w:hAnsi="宋体"/>
          <w:sz w:val="21"/>
          <w:highlight w:val="none"/>
        </w:rPr>
        <w:t>供应商须在提交响应文件截止时间之前，向采购代理机构交纳磋商保证金：</w:t>
      </w:r>
      <w:r>
        <w:rPr>
          <w:rFonts w:hint="eastAsia" w:ascii="宋体" w:hAnsi="宋体"/>
          <w:b/>
          <w:bCs/>
          <w:sz w:val="21"/>
          <w:highlight w:val="none"/>
          <w:lang w:eastAsia="zh-CN"/>
        </w:rPr>
        <w:t>人民币7000元</w:t>
      </w:r>
      <w:r>
        <w:rPr>
          <w:rFonts w:hint="eastAsia" w:ascii="宋体" w:hAnsi="宋体"/>
          <w:b/>
          <w:bCs/>
          <w:sz w:val="21"/>
          <w:highlight w:val="none"/>
        </w:rPr>
        <w:t>。汇款时备注项目编号</w:t>
      </w:r>
      <w:r>
        <w:rPr>
          <w:rFonts w:hint="eastAsia" w:ascii="宋体" w:hAnsi="宋体"/>
          <w:b/>
          <w:bCs/>
          <w:sz w:val="21"/>
          <w:highlight w:val="none"/>
          <w:lang w:eastAsia="zh-CN"/>
        </w:rPr>
        <w:t>SQ23-0682</w:t>
      </w:r>
      <w:r>
        <w:rPr>
          <w:rFonts w:hint="eastAsia" w:ascii="宋体" w:hAnsi="宋体"/>
          <w:b/>
          <w:bCs/>
          <w:sz w:val="21"/>
          <w:highlight w:val="none"/>
        </w:rPr>
        <w:t>。</w:t>
      </w:r>
    </w:p>
    <w:p>
      <w:pPr>
        <w:adjustRightInd w:val="0"/>
        <w:snapToGrid w:val="0"/>
        <w:spacing w:line="360" w:lineRule="auto"/>
        <w:ind w:left="357"/>
        <w:rPr>
          <w:rFonts w:ascii="宋体" w:hAnsi="宋体"/>
          <w:sz w:val="21"/>
          <w:highlight w:val="none"/>
        </w:rPr>
      </w:pPr>
      <w:r>
        <w:rPr>
          <w:rFonts w:ascii="宋体" w:hAnsi="宋体"/>
          <w:sz w:val="21"/>
          <w:highlight w:val="none"/>
        </w:rPr>
        <w:t>1</w:t>
      </w:r>
      <w:r>
        <w:rPr>
          <w:rFonts w:hint="eastAsia" w:ascii="宋体" w:hAnsi="宋体"/>
          <w:sz w:val="21"/>
          <w:highlight w:val="none"/>
          <w:lang w:val="en-US" w:eastAsia="zh-CN"/>
        </w:rPr>
        <w:t>3</w:t>
      </w:r>
      <w:r>
        <w:rPr>
          <w:rFonts w:ascii="宋体" w:hAnsi="宋体"/>
          <w:sz w:val="21"/>
          <w:highlight w:val="none"/>
        </w:rPr>
        <w:t xml:space="preserve">.3  </w:t>
      </w:r>
      <w:r>
        <w:rPr>
          <w:rFonts w:hint="eastAsia" w:ascii="宋体" w:hAnsi="宋体"/>
          <w:sz w:val="21"/>
          <w:highlight w:val="none"/>
        </w:rPr>
        <w:t>保证金用于保护本次招标免受响应供应商的行为而引起的风险。</w:t>
      </w:r>
    </w:p>
    <w:p>
      <w:pPr>
        <w:adjustRightInd w:val="0"/>
        <w:snapToGrid w:val="0"/>
        <w:spacing w:line="360" w:lineRule="auto"/>
        <w:ind w:left="357"/>
        <w:rPr>
          <w:rFonts w:ascii="宋体" w:hAnsi="宋体"/>
          <w:sz w:val="21"/>
          <w:highlight w:val="none"/>
        </w:rPr>
      </w:pPr>
      <w:r>
        <w:rPr>
          <w:rFonts w:ascii="宋体" w:hAnsi="宋体"/>
          <w:sz w:val="21"/>
          <w:highlight w:val="none"/>
        </w:rPr>
        <w:t>1</w:t>
      </w:r>
      <w:r>
        <w:rPr>
          <w:rFonts w:hint="eastAsia" w:ascii="宋体" w:hAnsi="宋体"/>
          <w:sz w:val="21"/>
          <w:highlight w:val="none"/>
          <w:lang w:val="en-US" w:eastAsia="zh-CN"/>
        </w:rPr>
        <w:t>3</w:t>
      </w:r>
      <w:r>
        <w:rPr>
          <w:rFonts w:ascii="宋体" w:hAnsi="宋体"/>
          <w:sz w:val="21"/>
          <w:highlight w:val="none"/>
        </w:rPr>
        <w:t xml:space="preserve">.4  </w:t>
      </w:r>
      <w:r>
        <w:rPr>
          <w:rFonts w:hint="eastAsia" w:ascii="宋体" w:hAnsi="宋体"/>
          <w:sz w:val="21"/>
          <w:highlight w:val="none"/>
        </w:rPr>
        <w:t>保证金可以下列方式提交：支票、电汇、网上银行汇款。（在响应有效期满前，因票据即将到期，采购代理机构有权暂时行使票据权力。）</w:t>
      </w:r>
    </w:p>
    <w:p>
      <w:pPr>
        <w:adjustRightInd w:val="0"/>
        <w:snapToGrid w:val="0"/>
        <w:spacing w:line="360" w:lineRule="auto"/>
        <w:ind w:left="357"/>
        <w:rPr>
          <w:rFonts w:ascii="宋体" w:hAnsi="宋体"/>
          <w:sz w:val="21"/>
          <w:highlight w:val="none"/>
        </w:rPr>
      </w:pPr>
      <w:r>
        <w:rPr>
          <w:rFonts w:ascii="宋体" w:hAnsi="宋体"/>
          <w:sz w:val="21"/>
          <w:highlight w:val="none"/>
        </w:rPr>
        <w:t>1</w:t>
      </w:r>
      <w:r>
        <w:rPr>
          <w:rFonts w:hint="eastAsia" w:ascii="宋体" w:hAnsi="宋体"/>
          <w:sz w:val="21"/>
          <w:highlight w:val="none"/>
          <w:lang w:val="en-US" w:eastAsia="zh-CN"/>
        </w:rPr>
        <w:t>3</w:t>
      </w:r>
      <w:r>
        <w:rPr>
          <w:rFonts w:ascii="宋体" w:hAnsi="宋体"/>
          <w:sz w:val="21"/>
          <w:highlight w:val="none"/>
        </w:rPr>
        <w:t xml:space="preserve">.5  </w:t>
      </w:r>
      <w:r>
        <w:rPr>
          <w:rFonts w:hint="eastAsia" w:ascii="宋体" w:hAnsi="宋体"/>
          <w:sz w:val="21"/>
          <w:highlight w:val="none"/>
        </w:rPr>
        <w:t>未按规定提交保证金的响应，将被视为响应无效。</w:t>
      </w:r>
    </w:p>
    <w:p>
      <w:pPr>
        <w:adjustRightInd w:val="0"/>
        <w:snapToGrid w:val="0"/>
        <w:spacing w:line="360" w:lineRule="auto"/>
        <w:ind w:left="357"/>
        <w:rPr>
          <w:rFonts w:ascii="宋体" w:hAnsi="宋体"/>
          <w:sz w:val="21"/>
          <w:highlight w:val="none"/>
        </w:rPr>
      </w:pPr>
      <w:r>
        <w:rPr>
          <w:rFonts w:ascii="宋体" w:hAnsi="宋体"/>
          <w:sz w:val="21"/>
          <w:highlight w:val="none"/>
        </w:rPr>
        <w:t>1</w:t>
      </w:r>
      <w:r>
        <w:rPr>
          <w:rFonts w:hint="eastAsia" w:ascii="宋体" w:hAnsi="宋体"/>
          <w:sz w:val="21"/>
          <w:highlight w:val="none"/>
          <w:lang w:val="en-US" w:eastAsia="zh-CN"/>
        </w:rPr>
        <w:t>3</w:t>
      </w:r>
      <w:r>
        <w:rPr>
          <w:rFonts w:ascii="宋体" w:hAnsi="宋体"/>
          <w:sz w:val="21"/>
          <w:highlight w:val="none"/>
        </w:rPr>
        <w:t xml:space="preserve">.6  </w:t>
      </w:r>
      <w:r>
        <w:rPr>
          <w:rFonts w:hint="eastAsia" w:ascii="宋体" w:hAnsi="宋体"/>
          <w:sz w:val="21"/>
          <w:highlight w:val="none"/>
        </w:rPr>
        <w:t>未成交的响应供应商的保证金，将按规定予以无息退还。</w:t>
      </w:r>
      <w:r>
        <w:rPr>
          <w:rFonts w:hint="eastAsia" w:ascii="宋体" w:hAnsi="宋体"/>
          <w:b/>
          <w:sz w:val="21"/>
          <w:highlight w:val="none"/>
        </w:rPr>
        <w:t>（注：供应商不及时来退保证金（或经催促，依然不及时退）的，无论过了多长时间，采购代理机构均不支付任何利息。）</w:t>
      </w:r>
    </w:p>
    <w:p>
      <w:pPr>
        <w:adjustRightInd w:val="0"/>
        <w:snapToGrid w:val="0"/>
        <w:spacing w:line="360" w:lineRule="auto"/>
        <w:ind w:left="357"/>
        <w:rPr>
          <w:rFonts w:ascii="宋体" w:hAnsi="宋体"/>
          <w:sz w:val="21"/>
          <w:highlight w:val="none"/>
        </w:rPr>
      </w:pPr>
      <w:r>
        <w:rPr>
          <w:rFonts w:ascii="宋体" w:hAnsi="宋体"/>
          <w:sz w:val="21"/>
          <w:highlight w:val="none"/>
        </w:rPr>
        <w:t>1</w:t>
      </w:r>
      <w:r>
        <w:rPr>
          <w:rFonts w:hint="eastAsia" w:ascii="宋体" w:hAnsi="宋体"/>
          <w:sz w:val="21"/>
          <w:highlight w:val="none"/>
          <w:lang w:val="en-US" w:eastAsia="zh-CN"/>
        </w:rPr>
        <w:t>3</w:t>
      </w:r>
      <w:r>
        <w:rPr>
          <w:rFonts w:ascii="宋体" w:hAnsi="宋体"/>
          <w:sz w:val="21"/>
          <w:highlight w:val="none"/>
        </w:rPr>
        <w:t xml:space="preserve">.7  </w:t>
      </w:r>
      <w:r>
        <w:rPr>
          <w:rFonts w:hint="eastAsia" w:ascii="宋体" w:hAnsi="宋体"/>
          <w:sz w:val="21"/>
          <w:highlight w:val="none"/>
        </w:rPr>
        <w:t>成交的响应供应商的保证金，经银行扣除手续费，予以无息退还。</w:t>
      </w:r>
    </w:p>
    <w:p>
      <w:pPr>
        <w:adjustRightInd w:val="0"/>
        <w:snapToGrid w:val="0"/>
        <w:spacing w:line="360" w:lineRule="auto"/>
        <w:ind w:left="357"/>
        <w:rPr>
          <w:rFonts w:ascii="宋体" w:hAnsi="宋体"/>
          <w:sz w:val="21"/>
          <w:highlight w:val="none"/>
        </w:rPr>
      </w:pPr>
      <w:r>
        <w:rPr>
          <w:rFonts w:ascii="宋体" w:hAnsi="宋体"/>
          <w:sz w:val="21"/>
          <w:highlight w:val="none"/>
        </w:rPr>
        <w:t>1</w:t>
      </w:r>
      <w:r>
        <w:rPr>
          <w:rFonts w:hint="eastAsia" w:ascii="宋体" w:hAnsi="宋体"/>
          <w:sz w:val="21"/>
          <w:highlight w:val="none"/>
          <w:lang w:val="en-US" w:eastAsia="zh-CN"/>
        </w:rPr>
        <w:t>3</w:t>
      </w:r>
      <w:r>
        <w:rPr>
          <w:rFonts w:ascii="宋体" w:hAnsi="宋体"/>
          <w:sz w:val="21"/>
          <w:highlight w:val="none"/>
        </w:rPr>
        <w:t xml:space="preserve">.8  </w:t>
      </w:r>
      <w:r>
        <w:rPr>
          <w:rFonts w:hint="eastAsia" w:ascii="宋体" w:hAnsi="宋体"/>
          <w:sz w:val="21"/>
          <w:highlight w:val="none"/>
        </w:rPr>
        <w:t>发生以下情况保证金将被没收：</w:t>
      </w:r>
    </w:p>
    <w:p>
      <w:pPr>
        <w:numPr>
          <w:ilvl w:val="0"/>
          <w:numId w:val="11"/>
        </w:numPr>
        <w:tabs>
          <w:tab w:val="clear" w:pos="860"/>
        </w:tabs>
        <w:adjustRightInd w:val="0"/>
        <w:snapToGrid w:val="0"/>
        <w:spacing w:line="360" w:lineRule="auto"/>
        <w:rPr>
          <w:rFonts w:ascii="宋体" w:hAnsi="宋体"/>
          <w:sz w:val="21"/>
          <w:highlight w:val="none"/>
        </w:rPr>
      </w:pPr>
      <w:r>
        <w:rPr>
          <w:rFonts w:hint="eastAsia" w:ascii="宋体" w:hAnsi="宋体"/>
          <w:sz w:val="21"/>
          <w:highlight w:val="none"/>
        </w:rPr>
        <w:t>开标后响应供应商在响应有效期内撤回响应文件；</w:t>
      </w:r>
    </w:p>
    <w:p>
      <w:pPr>
        <w:numPr>
          <w:ilvl w:val="0"/>
          <w:numId w:val="11"/>
        </w:numPr>
        <w:tabs>
          <w:tab w:val="clear" w:pos="860"/>
        </w:tabs>
        <w:adjustRightInd w:val="0"/>
        <w:snapToGrid w:val="0"/>
        <w:spacing w:line="360" w:lineRule="auto"/>
        <w:rPr>
          <w:rFonts w:ascii="宋体" w:hAnsi="宋体"/>
          <w:sz w:val="21"/>
          <w:highlight w:val="none"/>
        </w:rPr>
      </w:pPr>
      <w:r>
        <w:rPr>
          <w:rFonts w:hint="eastAsia" w:ascii="宋体" w:hAnsi="宋体"/>
          <w:sz w:val="21"/>
          <w:highlight w:val="none"/>
        </w:rPr>
        <w:t>如果成交供应商未能做到：</w:t>
      </w:r>
    </w:p>
    <w:p>
      <w:pPr>
        <w:adjustRightInd w:val="0"/>
        <w:snapToGrid w:val="0"/>
        <w:spacing w:line="360" w:lineRule="auto"/>
        <w:ind w:left="357"/>
        <w:rPr>
          <w:rFonts w:ascii="宋体" w:hAnsi="宋体"/>
          <w:sz w:val="21"/>
          <w:highlight w:val="none"/>
        </w:rPr>
      </w:pPr>
      <w:r>
        <w:rPr>
          <w:rFonts w:ascii="宋体" w:hAnsi="宋体"/>
          <w:sz w:val="21"/>
          <w:highlight w:val="none"/>
        </w:rPr>
        <w:t>a.</w:t>
      </w:r>
      <w:r>
        <w:rPr>
          <w:rFonts w:hint="eastAsia" w:ascii="宋体" w:hAnsi="宋体"/>
          <w:sz w:val="21"/>
          <w:highlight w:val="none"/>
        </w:rPr>
        <w:t>　按本须知第</w:t>
      </w:r>
      <w:r>
        <w:rPr>
          <w:rFonts w:ascii="宋体" w:hAnsi="宋体"/>
          <w:sz w:val="21"/>
          <w:highlight w:val="none"/>
        </w:rPr>
        <w:t>3</w:t>
      </w:r>
      <w:r>
        <w:rPr>
          <w:rFonts w:hint="eastAsia" w:ascii="宋体" w:hAnsi="宋体"/>
          <w:sz w:val="21"/>
          <w:highlight w:val="none"/>
        </w:rPr>
        <w:t>4条规定签订合同；</w:t>
      </w:r>
    </w:p>
    <w:p>
      <w:pPr>
        <w:adjustRightInd w:val="0"/>
        <w:snapToGrid w:val="0"/>
        <w:spacing w:line="360" w:lineRule="auto"/>
        <w:ind w:left="357"/>
        <w:rPr>
          <w:rFonts w:ascii="宋体" w:hAnsi="宋体"/>
          <w:sz w:val="21"/>
          <w:highlight w:val="none"/>
        </w:rPr>
      </w:pPr>
      <w:r>
        <w:rPr>
          <w:rFonts w:ascii="宋体" w:hAnsi="宋体"/>
          <w:sz w:val="21"/>
          <w:highlight w:val="none"/>
        </w:rPr>
        <w:t>b.</w:t>
      </w:r>
      <w:r>
        <w:rPr>
          <w:rFonts w:hint="eastAsia" w:ascii="宋体" w:hAnsi="宋体"/>
          <w:sz w:val="21"/>
          <w:highlight w:val="none"/>
        </w:rPr>
        <w:t>　按本须知第</w:t>
      </w:r>
      <w:r>
        <w:rPr>
          <w:rFonts w:ascii="宋体" w:hAnsi="宋体"/>
          <w:sz w:val="21"/>
          <w:highlight w:val="none"/>
        </w:rPr>
        <w:t>3</w:t>
      </w:r>
      <w:r>
        <w:rPr>
          <w:rFonts w:hint="eastAsia" w:ascii="宋体" w:hAnsi="宋体"/>
          <w:sz w:val="21"/>
          <w:highlight w:val="none"/>
        </w:rPr>
        <w:t>5条规定交纳成交服务费。</w:t>
      </w:r>
    </w:p>
    <w:p>
      <w:pPr>
        <w:numPr>
          <w:ilvl w:val="0"/>
          <w:numId w:val="7"/>
        </w:numPr>
        <w:adjustRightInd w:val="0"/>
        <w:snapToGrid w:val="0"/>
        <w:spacing w:line="360" w:lineRule="auto"/>
        <w:ind w:left="357" w:hanging="357"/>
        <w:rPr>
          <w:rFonts w:ascii="宋体" w:hAnsi="宋体"/>
          <w:sz w:val="21"/>
          <w:highlight w:val="none"/>
        </w:rPr>
      </w:pPr>
      <w:r>
        <w:rPr>
          <w:rFonts w:hint="eastAsia" w:ascii="宋体" w:hAnsi="宋体"/>
          <w:sz w:val="21"/>
          <w:highlight w:val="none"/>
        </w:rPr>
        <w:t>磋商有效期</w:t>
      </w:r>
    </w:p>
    <w:p>
      <w:pPr>
        <w:kinsoku w:val="0"/>
        <w:overflowPunct w:val="0"/>
        <w:adjustRightInd w:val="0"/>
        <w:snapToGrid w:val="0"/>
        <w:spacing w:line="360" w:lineRule="auto"/>
        <w:ind w:left="416" w:hanging="416"/>
        <w:rPr>
          <w:rFonts w:ascii="宋体" w:hAnsi="宋体"/>
          <w:kern w:val="0"/>
          <w:sz w:val="21"/>
          <w:highlight w:val="none"/>
        </w:rPr>
      </w:pPr>
      <w:r>
        <w:rPr>
          <w:rFonts w:hint="eastAsia" w:ascii="宋体" w:hAnsi="宋体"/>
          <w:kern w:val="0"/>
          <w:sz w:val="21"/>
          <w:highlight w:val="none"/>
        </w:rPr>
        <w:t>1</w:t>
      </w:r>
      <w:r>
        <w:rPr>
          <w:rFonts w:hint="eastAsia" w:ascii="宋体" w:hAnsi="宋体"/>
          <w:kern w:val="0"/>
          <w:sz w:val="21"/>
          <w:highlight w:val="none"/>
          <w:lang w:val="en-US" w:eastAsia="zh-CN"/>
        </w:rPr>
        <w:t>4</w:t>
      </w:r>
      <w:r>
        <w:rPr>
          <w:rFonts w:hint="eastAsia" w:ascii="宋体" w:hAnsi="宋体"/>
          <w:kern w:val="0"/>
          <w:sz w:val="21"/>
          <w:highlight w:val="none"/>
        </w:rPr>
        <w:t>.1磋商响应文件从递交之日起，文件有效期为90天。特殊磋商项目在“技术规格及要求”部分另行规定。</w:t>
      </w:r>
    </w:p>
    <w:p>
      <w:pPr>
        <w:kinsoku w:val="0"/>
        <w:overflowPunct w:val="0"/>
        <w:adjustRightInd w:val="0"/>
        <w:snapToGrid w:val="0"/>
        <w:spacing w:line="360" w:lineRule="auto"/>
        <w:ind w:left="416" w:hanging="416"/>
        <w:rPr>
          <w:rFonts w:ascii="宋体" w:hAnsi="宋体"/>
          <w:kern w:val="0"/>
          <w:sz w:val="21"/>
          <w:highlight w:val="none"/>
        </w:rPr>
      </w:pPr>
      <w:r>
        <w:rPr>
          <w:rFonts w:hint="eastAsia" w:ascii="宋体" w:hAnsi="宋体"/>
          <w:kern w:val="0"/>
          <w:sz w:val="21"/>
          <w:highlight w:val="none"/>
        </w:rPr>
        <w:t>1</w:t>
      </w:r>
      <w:r>
        <w:rPr>
          <w:rFonts w:hint="eastAsia" w:ascii="宋体" w:hAnsi="宋体"/>
          <w:kern w:val="0"/>
          <w:sz w:val="21"/>
          <w:highlight w:val="none"/>
          <w:lang w:val="en-US" w:eastAsia="zh-CN"/>
        </w:rPr>
        <w:t>4</w:t>
      </w:r>
      <w:r>
        <w:rPr>
          <w:rFonts w:hint="eastAsia" w:ascii="宋体" w:hAnsi="宋体"/>
          <w:kern w:val="0"/>
          <w:sz w:val="21"/>
          <w:highlight w:val="none"/>
        </w:rPr>
        <w:t>.2特殊情况下，采购代理机构可于磋商有效期之前要求响应供应商同意延长有效期，要求与答复均应为书面形式。响应供应商可以拒绝上述要求。对于同意该要求的响应供应商，既不要求也不允许其修改磋商响应文件。</w:t>
      </w:r>
    </w:p>
    <w:p>
      <w:pPr>
        <w:numPr>
          <w:ilvl w:val="0"/>
          <w:numId w:val="7"/>
        </w:numPr>
        <w:adjustRightInd w:val="0"/>
        <w:snapToGrid w:val="0"/>
        <w:spacing w:line="360" w:lineRule="auto"/>
        <w:ind w:left="357" w:hanging="357"/>
        <w:rPr>
          <w:rFonts w:ascii="宋体" w:hAnsi="宋体"/>
          <w:sz w:val="21"/>
          <w:highlight w:val="none"/>
        </w:rPr>
      </w:pPr>
      <w:r>
        <w:rPr>
          <w:rFonts w:hint="eastAsia" w:ascii="宋体" w:hAnsi="宋体"/>
          <w:sz w:val="21"/>
          <w:highlight w:val="none"/>
        </w:rPr>
        <w:t>磋商响应文件的签署及规定</w:t>
      </w:r>
    </w:p>
    <w:p>
      <w:pPr>
        <w:kinsoku w:val="0"/>
        <w:overflowPunct w:val="0"/>
        <w:adjustRightInd w:val="0"/>
        <w:snapToGrid w:val="0"/>
        <w:spacing w:line="360" w:lineRule="auto"/>
        <w:ind w:left="416" w:hanging="416"/>
        <w:rPr>
          <w:rFonts w:ascii="宋体" w:hAnsi="宋体"/>
          <w:kern w:val="0"/>
          <w:sz w:val="21"/>
          <w:highlight w:val="none"/>
        </w:rPr>
      </w:pPr>
      <w:r>
        <w:rPr>
          <w:rFonts w:hint="eastAsia" w:ascii="宋体" w:hAnsi="宋体"/>
          <w:kern w:val="0"/>
          <w:sz w:val="21"/>
          <w:highlight w:val="none"/>
        </w:rPr>
        <w:t>1</w:t>
      </w:r>
      <w:r>
        <w:rPr>
          <w:rFonts w:hint="eastAsia" w:ascii="宋体" w:hAnsi="宋体"/>
          <w:kern w:val="0"/>
          <w:sz w:val="21"/>
          <w:highlight w:val="none"/>
          <w:lang w:val="en-US" w:eastAsia="zh-CN"/>
        </w:rPr>
        <w:t>5</w:t>
      </w:r>
      <w:r>
        <w:rPr>
          <w:rFonts w:hint="eastAsia" w:ascii="宋体" w:hAnsi="宋体"/>
          <w:kern w:val="0"/>
          <w:sz w:val="21"/>
          <w:highlight w:val="none"/>
        </w:rPr>
        <w:t>.1响应供应商应准备一份正本和三份副本，在每一份磋商响应文件上要明确注明“正本”或“副本”字样，一旦正本和副本有差异，以正本为准。</w:t>
      </w:r>
    </w:p>
    <w:p>
      <w:pPr>
        <w:kinsoku w:val="0"/>
        <w:overflowPunct w:val="0"/>
        <w:adjustRightInd w:val="0"/>
        <w:snapToGrid w:val="0"/>
        <w:spacing w:line="360" w:lineRule="auto"/>
        <w:rPr>
          <w:rFonts w:ascii="宋体" w:hAnsi="宋体"/>
          <w:kern w:val="0"/>
          <w:sz w:val="21"/>
          <w:highlight w:val="none"/>
        </w:rPr>
      </w:pPr>
      <w:r>
        <w:rPr>
          <w:rFonts w:hint="eastAsia" w:ascii="宋体" w:hAnsi="宋体"/>
          <w:kern w:val="0"/>
          <w:sz w:val="21"/>
          <w:highlight w:val="none"/>
        </w:rPr>
        <w:t>1</w:t>
      </w:r>
      <w:r>
        <w:rPr>
          <w:rFonts w:hint="eastAsia" w:ascii="宋体" w:hAnsi="宋体"/>
          <w:kern w:val="0"/>
          <w:sz w:val="21"/>
          <w:highlight w:val="none"/>
          <w:lang w:val="en-US" w:eastAsia="zh-CN"/>
        </w:rPr>
        <w:t>5</w:t>
      </w:r>
      <w:r>
        <w:rPr>
          <w:rFonts w:hint="eastAsia" w:ascii="宋体" w:hAnsi="宋体"/>
          <w:kern w:val="0"/>
          <w:sz w:val="21"/>
          <w:highlight w:val="none"/>
        </w:rPr>
        <w:t>.2磋商响应文件正本和副本须打印并由经正式授权的响应供应商授权代表签字。</w:t>
      </w:r>
    </w:p>
    <w:p>
      <w:pPr>
        <w:kinsoku w:val="0"/>
        <w:overflowPunct w:val="0"/>
        <w:adjustRightInd w:val="0"/>
        <w:snapToGrid w:val="0"/>
        <w:spacing w:line="360" w:lineRule="auto"/>
        <w:ind w:left="416" w:hanging="416"/>
        <w:rPr>
          <w:rFonts w:ascii="宋体" w:hAnsi="宋体"/>
          <w:kern w:val="0"/>
          <w:sz w:val="21"/>
          <w:highlight w:val="none"/>
        </w:rPr>
      </w:pPr>
      <w:r>
        <w:rPr>
          <w:rFonts w:hint="eastAsia" w:ascii="宋体" w:hAnsi="宋体"/>
          <w:kern w:val="0"/>
          <w:sz w:val="21"/>
          <w:highlight w:val="none"/>
        </w:rPr>
        <w:t>1</w:t>
      </w:r>
      <w:r>
        <w:rPr>
          <w:rFonts w:hint="eastAsia" w:ascii="宋体" w:hAnsi="宋体"/>
          <w:kern w:val="0"/>
          <w:sz w:val="21"/>
          <w:highlight w:val="none"/>
          <w:lang w:val="en-US" w:eastAsia="zh-CN"/>
        </w:rPr>
        <w:t>5</w:t>
      </w:r>
      <w:r>
        <w:rPr>
          <w:rFonts w:hint="eastAsia" w:ascii="宋体" w:hAnsi="宋体"/>
          <w:kern w:val="0"/>
          <w:sz w:val="21"/>
          <w:highlight w:val="none"/>
        </w:rPr>
        <w:t>.3除响应供应商对错处作必要修改外，磋商响应文件中不许有加行、涂抹或改写。若有修改须由签署磋商响应文件的人进行签字。</w:t>
      </w:r>
    </w:p>
    <w:p>
      <w:pPr>
        <w:kinsoku w:val="0"/>
        <w:overflowPunct w:val="0"/>
        <w:adjustRightInd w:val="0"/>
        <w:snapToGrid w:val="0"/>
        <w:spacing w:line="360" w:lineRule="auto"/>
        <w:rPr>
          <w:rFonts w:ascii="宋体" w:hAnsi="宋体"/>
          <w:kern w:val="0"/>
          <w:sz w:val="21"/>
          <w:highlight w:val="none"/>
        </w:rPr>
      </w:pPr>
      <w:r>
        <w:rPr>
          <w:rFonts w:hint="eastAsia" w:ascii="宋体" w:hAnsi="宋体"/>
          <w:kern w:val="0"/>
          <w:sz w:val="21"/>
          <w:highlight w:val="none"/>
        </w:rPr>
        <w:t>1</w:t>
      </w:r>
      <w:r>
        <w:rPr>
          <w:rFonts w:hint="eastAsia" w:ascii="宋体" w:hAnsi="宋体"/>
          <w:kern w:val="0"/>
          <w:sz w:val="21"/>
          <w:highlight w:val="none"/>
          <w:lang w:val="en-US" w:eastAsia="zh-CN"/>
        </w:rPr>
        <w:t>5</w:t>
      </w:r>
      <w:r>
        <w:rPr>
          <w:rFonts w:hint="eastAsia" w:ascii="宋体" w:hAnsi="宋体"/>
          <w:kern w:val="0"/>
          <w:sz w:val="21"/>
          <w:highlight w:val="none"/>
        </w:rPr>
        <w:t>.4电报、电话、传真形式的磋商概不接受。</w:t>
      </w:r>
    </w:p>
    <w:p>
      <w:pPr>
        <w:kinsoku w:val="0"/>
        <w:overflowPunct w:val="0"/>
        <w:adjustRightInd w:val="0"/>
        <w:snapToGrid w:val="0"/>
        <w:spacing w:line="360" w:lineRule="auto"/>
        <w:rPr>
          <w:rFonts w:ascii="宋体" w:hAnsi="宋体"/>
          <w:kern w:val="0"/>
          <w:sz w:val="21"/>
          <w:highlight w:val="none"/>
        </w:rPr>
      </w:pPr>
    </w:p>
    <w:p>
      <w:pPr>
        <w:spacing w:line="360" w:lineRule="auto"/>
        <w:outlineLvl w:val="1"/>
        <w:rPr>
          <w:rFonts w:hint="eastAsia" w:ascii="宋体" w:hAnsi="宋体" w:cs="Times New Roman"/>
          <w:b/>
          <w:bCs/>
          <w:sz w:val="21"/>
          <w:highlight w:val="none"/>
          <w:lang w:val="en-US" w:eastAsia="zh-CN"/>
        </w:rPr>
      </w:pPr>
      <w:r>
        <w:rPr>
          <w:rFonts w:hint="eastAsia" w:ascii="宋体" w:hAnsi="宋体" w:cs="Times New Roman"/>
          <w:b/>
          <w:bCs/>
          <w:sz w:val="21"/>
          <w:highlight w:val="none"/>
          <w:lang w:val="en-US" w:eastAsia="zh-CN"/>
        </w:rPr>
        <w:t>三、磋商文件说明</w:t>
      </w:r>
      <w:bookmarkEnd w:id="20"/>
      <w:bookmarkEnd w:id="21"/>
      <w:bookmarkEnd w:id="22"/>
      <w:bookmarkEnd w:id="23"/>
      <w:bookmarkEnd w:id="24"/>
      <w:bookmarkEnd w:id="25"/>
      <w:bookmarkEnd w:id="26"/>
      <w:bookmarkEnd w:id="27"/>
      <w:bookmarkEnd w:id="28"/>
      <w:bookmarkEnd w:id="29"/>
    </w:p>
    <w:p>
      <w:pPr>
        <w:numPr>
          <w:ilvl w:val="0"/>
          <w:numId w:val="7"/>
        </w:numPr>
        <w:adjustRightInd w:val="0"/>
        <w:snapToGrid w:val="0"/>
        <w:spacing w:line="360" w:lineRule="auto"/>
        <w:ind w:left="357" w:hanging="357"/>
        <w:rPr>
          <w:rFonts w:ascii="宋体" w:hAnsi="宋体"/>
          <w:sz w:val="21"/>
          <w:highlight w:val="none"/>
        </w:rPr>
      </w:pPr>
      <w:r>
        <w:rPr>
          <w:rFonts w:hint="eastAsia" w:ascii="宋体" w:hAnsi="宋体"/>
          <w:sz w:val="21"/>
          <w:highlight w:val="none"/>
        </w:rPr>
        <w:t>磋商文件的构成</w:t>
      </w:r>
    </w:p>
    <w:p>
      <w:pPr>
        <w:numPr>
          <w:ilvl w:val="0"/>
          <w:numId w:val="0"/>
        </w:numPr>
        <w:adjustRightInd w:val="0"/>
        <w:snapToGrid w:val="0"/>
        <w:spacing w:line="360" w:lineRule="auto"/>
        <w:ind w:leftChars="0"/>
        <w:rPr>
          <w:rFonts w:ascii="宋体" w:hAnsi="宋体"/>
          <w:sz w:val="21"/>
          <w:highlight w:val="none"/>
        </w:rPr>
      </w:pPr>
      <w:r>
        <w:rPr>
          <w:rFonts w:hint="eastAsia" w:ascii="宋体" w:hAnsi="宋体"/>
          <w:sz w:val="21"/>
          <w:highlight w:val="none"/>
          <w:lang w:val="en-US" w:eastAsia="zh-CN"/>
        </w:rPr>
        <w:t>16.1</w:t>
      </w:r>
      <w:r>
        <w:rPr>
          <w:rFonts w:hint="eastAsia" w:ascii="宋体" w:hAnsi="宋体"/>
          <w:sz w:val="21"/>
          <w:highlight w:val="none"/>
        </w:rPr>
        <w:t>磋商文件用以阐明所需货物及服务、磋商评判程序和合同条款。磋商文件由下述部分组成：</w:t>
      </w:r>
    </w:p>
    <w:p>
      <w:pPr>
        <w:numPr>
          <w:ilvl w:val="0"/>
          <w:numId w:val="12"/>
        </w:numPr>
        <w:tabs>
          <w:tab w:val="left" w:pos="855"/>
        </w:tabs>
        <w:adjustRightInd w:val="0"/>
        <w:snapToGrid w:val="0"/>
        <w:spacing w:line="360" w:lineRule="auto"/>
        <w:rPr>
          <w:rFonts w:ascii="宋体" w:hAnsi="宋体"/>
          <w:sz w:val="21"/>
          <w:highlight w:val="none"/>
        </w:rPr>
      </w:pPr>
      <w:r>
        <w:rPr>
          <w:rFonts w:hint="eastAsia" w:ascii="宋体" w:hAnsi="宋体"/>
          <w:sz w:val="21"/>
          <w:highlight w:val="none"/>
        </w:rPr>
        <w:t>前附表</w:t>
      </w:r>
    </w:p>
    <w:p>
      <w:pPr>
        <w:numPr>
          <w:ilvl w:val="0"/>
          <w:numId w:val="12"/>
        </w:numPr>
        <w:tabs>
          <w:tab w:val="left" w:pos="855"/>
        </w:tabs>
        <w:adjustRightInd w:val="0"/>
        <w:snapToGrid w:val="0"/>
        <w:spacing w:line="360" w:lineRule="auto"/>
        <w:rPr>
          <w:rFonts w:ascii="宋体" w:hAnsi="宋体"/>
          <w:sz w:val="21"/>
          <w:highlight w:val="none"/>
        </w:rPr>
      </w:pPr>
      <w:r>
        <w:rPr>
          <w:rFonts w:hint="eastAsia" w:ascii="宋体" w:hAnsi="宋体"/>
          <w:sz w:val="21"/>
          <w:highlight w:val="none"/>
        </w:rPr>
        <w:t>响应供应商须知</w:t>
      </w:r>
    </w:p>
    <w:p>
      <w:pPr>
        <w:numPr>
          <w:ilvl w:val="0"/>
          <w:numId w:val="12"/>
        </w:numPr>
        <w:tabs>
          <w:tab w:val="left" w:pos="855"/>
        </w:tabs>
        <w:adjustRightInd w:val="0"/>
        <w:snapToGrid w:val="0"/>
        <w:spacing w:line="360" w:lineRule="auto"/>
        <w:rPr>
          <w:rFonts w:ascii="宋体" w:hAnsi="宋体"/>
          <w:sz w:val="21"/>
          <w:highlight w:val="none"/>
        </w:rPr>
      </w:pPr>
      <w:r>
        <w:rPr>
          <w:rFonts w:hint="eastAsia" w:ascii="宋体" w:hAnsi="宋体"/>
          <w:sz w:val="21"/>
          <w:highlight w:val="none"/>
        </w:rPr>
        <w:t>合同条款</w:t>
      </w:r>
    </w:p>
    <w:p>
      <w:pPr>
        <w:numPr>
          <w:ilvl w:val="0"/>
          <w:numId w:val="12"/>
        </w:numPr>
        <w:tabs>
          <w:tab w:val="left" w:pos="855"/>
        </w:tabs>
        <w:adjustRightInd w:val="0"/>
        <w:snapToGrid w:val="0"/>
        <w:spacing w:line="360" w:lineRule="auto"/>
        <w:rPr>
          <w:rFonts w:ascii="宋体" w:hAnsi="宋体"/>
          <w:sz w:val="21"/>
          <w:highlight w:val="none"/>
        </w:rPr>
      </w:pPr>
      <w:r>
        <w:rPr>
          <w:rFonts w:hint="eastAsia" w:ascii="宋体" w:hAnsi="宋体"/>
          <w:sz w:val="21"/>
          <w:highlight w:val="none"/>
        </w:rPr>
        <w:t>磋商文件格式</w:t>
      </w:r>
    </w:p>
    <w:p>
      <w:pPr>
        <w:numPr>
          <w:ilvl w:val="0"/>
          <w:numId w:val="12"/>
        </w:numPr>
        <w:tabs>
          <w:tab w:val="left" w:pos="855"/>
        </w:tabs>
        <w:adjustRightInd w:val="0"/>
        <w:snapToGrid w:val="0"/>
        <w:spacing w:line="360" w:lineRule="auto"/>
        <w:rPr>
          <w:rFonts w:ascii="宋体" w:hAnsi="宋体"/>
          <w:sz w:val="21"/>
          <w:highlight w:val="none"/>
        </w:rPr>
      </w:pPr>
      <w:r>
        <w:rPr>
          <w:rFonts w:hint="eastAsia" w:ascii="宋体" w:hAnsi="宋体"/>
          <w:sz w:val="21"/>
          <w:highlight w:val="none"/>
        </w:rPr>
        <w:t>采购需求</w:t>
      </w:r>
    </w:p>
    <w:p>
      <w:pPr>
        <w:adjustRightInd w:val="0"/>
        <w:snapToGrid w:val="0"/>
        <w:spacing w:line="360" w:lineRule="auto"/>
        <w:ind w:left="360" w:hanging="360"/>
        <w:rPr>
          <w:rFonts w:ascii="宋体" w:hAnsi="宋体"/>
          <w:sz w:val="21"/>
          <w:highlight w:val="none"/>
        </w:rPr>
      </w:pPr>
      <w:r>
        <w:rPr>
          <w:rFonts w:hint="eastAsia" w:ascii="宋体" w:hAnsi="宋体"/>
          <w:sz w:val="21"/>
          <w:highlight w:val="none"/>
          <w:lang w:val="en-US" w:eastAsia="zh-CN"/>
        </w:rPr>
        <w:t>16.2</w:t>
      </w:r>
      <w:r>
        <w:rPr>
          <w:rFonts w:hint="eastAsia" w:ascii="宋体" w:hAnsi="宋体"/>
          <w:sz w:val="21"/>
          <w:highlight w:val="none"/>
        </w:rPr>
        <w:t>除非有特殊要求，磋商文件不单独提供磋商标的物使用地的自然环境、气候条件、公用设施等情况，响应供应商被视为熟悉上述与履行合同有关的一切情况。</w:t>
      </w:r>
    </w:p>
    <w:p>
      <w:pPr>
        <w:numPr>
          <w:ilvl w:val="0"/>
          <w:numId w:val="7"/>
        </w:numPr>
        <w:adjustRightInd w:val="0"/>
        <w:snapToGrid w:val="0"/>
        <w:spacing w:line="360" w:lineRule="auto"/>
        <w:ind w:left="357" w:hanging="357"/>
        <w:rPr>
          <w:rFonts w:ascii="宋体" w:hAnsi="宋体"/>
          <w:sz w:val="21"/>
          <w:highlight w:val="none"/>
        </w:rPr>
      </w:pPr>
      <w:r>
        <w:rPr>
          <w:rFonts w:hint="eastAsia" w:ascii="宋体" w:hAnsi="宋体"/>
          <w:sz w:val="21"/>
          <w:highlight w:val="none"/>
        </w:rPr>
        <w:t>磋商文件的澄清</w:t>
      </w:r>
    </w:p>
    <w:p>
      <w:pPr>
        <w:numPr>
          <w:ilvl w:val="0"/>
          <w:numId w:val="13"/>
        </w:numPr>
        <w:tabs>
          <w:tab w:val="left" w:pos="855"/>
        </w:tabs>
        <w:adjustRightInd w:val="0"/>
        <w:snapToGrid w:val="0"/>
        <w:spacing w:line="360" w:lineRule="auto"/>
        <w:rPr>
          <w:rFonts w:ascii="宋体" w:hAnsi="宋体"/>
          <w:sz w:val="21"/>
          <w:highlight w:val="none"/>
        </w:rPr>
      </w:pPr>
      <w:r>
        <w:rPr>
          <w:rFonts w:hint="eastAsia" w:ascii="宋体" w:hAnsi="宋体"/>
          <w:sz w:val="21"/>
          <w:highlight w:val="none"/>
        </w:rPr>
        <w:t>响应供应商对磋商文件如有</w:t>
      </w:r>
      <w:r>
        <w:rPr>
          <w:rFonts w:hint="eastAsia" w:ascii="宋体" w:hAnsi="宋体"/>
          <w:sz w:val="21"/>
          <w:highlight w:val="none"/>
          <w:lang w:val="en-US" w:eastAsia="zh-CN"/>
        </w:rPr>
        <w:t>疑问</w:t>
      </w:r>
      <w:r>
        <w:rPr>
          <w:rFonts w:hint="eastAsia" w:ascii="宋体" w:hAnsi="宋体"/>
          <w:sz w:val="21"/>
          <w:highlight w:val="none"/>
        </w:rPr>
        <w:t>，</w:t>
      </w:r>
      <w:r>
        <w:rPr>
          <w:rFonts w:hint="eastAsia" w:ascii="宋体" w:hAnsi="宋体"/>
          <w:sz w:val="21"/>
          <w:highlight w:val="none"/>
          <w:lang w:val="en-US" w:eastAsia="zh-CN"/>
        </w:rPr>
        <w:t>可以按照前附表提出询问</w:t>
      </w:r>
      <w:r>
        <w:rPr>
          <w:rFonts w:hint="eastAsia" w:ascii="宋体" w:hAnsi="宋体"/>
          <w:sz w:val="21"/>
          <w:highlight w:val="none"/>
        </w:rPr>
        <w:t>。</w:t>
      </w:r>
    </w:p>
    <w:p>
      <w:pPr>
        <w:numPr>
          <w:ilvl w:val="0"/>
          <w:numId w:val="7"/>
        </w:numPr>
        <w:adjustRightInd w:val="0"/>
        <w:snapToGrid w:val="0"/>
        <w:spacing w:line="360" w:lineRule="auto"/>
        <w:ind w:left="357" w:hanging="357"/>
        <w:rPr>
          <w:rFonts w:ascii="宋体" w:hAnsi="宋体"/>
          <w:sz w:val="21"/>
          <w:highlight w:val="none"/>
        </w:rPr>
      </w:pPr>
      <w:r>
        <w:rPr>
          <w:rFonts w:hint="eastAsia" w:ascii="宋体" w:hAnsi="宋体"/>
          <w:sz w:val="21"/>
          <w:highlight w:val="none"/>
        </w:rPr>
        <w:t>磋商文件的修改</w:t>
      </w:r>
    </w:p>
    <w:p>
      <w:pPr>
        <w:adjustRightInd w:val="0"/>
        <w:snapToGrid w:val="0"/>
        <w:spacing w:line="360" w:lineRule="auto"/>
        <w:ind w:left="416" w:hanging="416"/>
        <w:rPr>
          <w:rFonts w:ascii="宋体" w:hAnsi="宋体"/>
          <w:sz w:val="21"/>
          <w:highlight w:val="none"/>
        </w:rPr>
      </w:pPr>
      <w:r>
        <w:rPr>
          <w:rFonts w:hint="eastAsia" w:ascii="宋体" w:hAnsi="宋体"/>
          <w:sz w:val="21"/>
          <w:highlight w:val="none"/>
          <w:lang w:val="en-US" w:eastAsia="zh-CN"/>
        </w:rPr>
        <w:t>18</w:t>
      </w:r>
      <w:r>
        <w:rPr>
          <w:rFonts w:hint="eastAsia" w:ascii="宋体" w:hAnsi="宋体"/>
          <w:sz w:val="21"/>
          <w:highlight w:val="none"/>
        </w:rPr>
        <w:t>.1在磋商响应文件递交截止日期3天前，采购代理机构可主动地或依据响应供应商要求澄清的问题而修改磋商文件，并以书面形式通知所有领取磋商文件的每一响应供应商，对方在收到该通知后应立即以电报或传真的形式予以确认。</w:t>
      </w:r>
    </w:p>
    <w:p>
      <w:pPr>
        <w:adjustRightInd w:val="0"/>
        <w:snapToGrid w:val="0"/>
        <w:spacing w:line="360" w:lineRule="auto"/>
        <w:ind w:left="416" w:hanging="416"/>
        <w:rPr>
          <w:rFonts w:ascii="宋体" w:hAnsi="宋体"/>
          <w:sz w:val="21"/>
          <w:highlight w:val="none"/>
        </w:rPr>
      </w:pPr>
      <w:r>
        <w:rPr>
          <w:rFonts w:hint="eastAsia" w:ascii="宋体" w:hAnsi="宋体"/>
          <w:sz w:val="21"/>
          <w:highlight w:val="none"/>
          <w:lang w:val="en-US" w:eastAsia="zh-CN"/>
        </w:rPr>
        <w:t>18</w:t>
      </w:r>
      <w:r>
        <w:rPr>
          <w:rFonts w:hint="eastAsia" w:ascii="宋体" w:hAnsi="宋体"/>
          <w:sz w:val="21"/>
          <w:highlight w:val="none"/>
        </w:rPr>
        <w:t>.2为使响应供应商在准备磋商响应文件时有合理的时间考虑磋商文件的修改，采购代理机构可酌情推迟磋商响应文件递交截止时间和评判时间，并以书面形式通知已领取磋商文件的每一响应供应商。</w:t>
      </w:r>
    </w:p>
    <w:p>
      <w:pPr>
        <w:adjustRightInd w:val="0"/>
        <w:snapToGrid w:val="0"/>
        <w:spacing w:line="360" w:lineRule="auto"/>
        <w:ind w:left="416" w:hanging="416"/>
        <w:rPr>
          <w:rFonts w:ascii="宋体" w:hAnsi="宋体"/>
          <w:sz w:val="21"/>
          <w:highlight w:val="none"/>
        </w:rPr>
      </w:pPr>
      <w:r>
        <w:rPr>
          <w:rFonts w:hint="eastAsia" w:ascii="宋体" w:hAnsi="宋体"/>
          <w:sz w:val="21"/>
          <w:highlight w:val="none"/>
          <w:lang w:val="en-US" w:eastAsia="zh-CN"/>
        </w:rPr>
        <w:t>18</w:t>
      </w:r>
      <w:r>
        <w:rPr>
          <w:rFonts w:hint="eastAsia" w:ascii="宋体" w:hAnsi="宋体"/>
          <w:sz w:val="21"/>
          <w:highlight w:val="none"/>
        </w:rPr>
        <w:t>.3</w:t>
      </w:r>
      <w:r>
        <w:rPr>
          <w:rFonts w:hint="eastAsia" w:ascii="宋体" w:hAnsi="宋体"/>
          <w:sz w:val="21"/>
          <w:highlight w:val="none"/>
        </w:rPr>
        <w:tab/>
      </w:r>
      <w:r>
        <w:rPr>
          <w:rFonts w:hint="eastAsia" w:ascii="宋体" w:hAnsi="宋体"/>
          <w:sz w:val="21"/>
          <w:highlight w:val="none"/>
        </w:rPr>
        <w:t>磋商文件的修改书将构成磋商文件的一部分，对响应供应商有约束力。</w:t>
      </w:r>
    </w:p>
    <w:p>
      <w:pPr>
        <w:adjustRightInd w:val="0"/>
        <w:snapToGrid w:val="0"/>
        <w:spacing w:line="360" w:lineRule="auto"/>
        <w:ind w:left="416" w:hanging="416"/>
        <w:rPr>
          <w:rFonts w:ascii="宋体" w:hAnsi="宋体"/>
          <w:sz w:val="21"/>
          <w:highlight w:val="none"/>
        </w:rPr>
      </w:pPr>
    </w:p>
    <w:p>
      <w:pPr>
        <w:spacing w:line="360" w:lineRule="auto"/>
        <w:outlineLvl w:val="1"/>
        <w:rPr>
          <w:rFonts w:ascii="宋体" w:hAnsi="宋体"/>
          <w:b/>
          <w:bCs/>
          <w:sz w:val="21"/>
          <w:highlight w:val="none"/>
        </w:rPr>
      </w:pPr>
      <w:bookmarkStart w:id="30" w:name="_Toc9218"/>
      <w:bookmarkStart w:id="31" w:name="_Toc374000533"/>
      <w:bookmarkStart w:id="32" w:name="_Toc374001381"/>
      <w:bookmarkStart w:id="33" w:name="_Toc437613705"/>
      <w:bookmarkStart w:id="34" w:name="_Toc9020"/>
      <w:bookmarkStart w:id="35" w:name="_Toc380996587"/>
      <w:bookmarkStart w:id="36" w:name="_Toc381015698"/>
      <w:bookmarkStart w:id="37" w:name="_Toc374364287"/>
      <w:bookmarkStart w:id="38" w:name="_Toc374964369"/>
      <w:bookmarkStart w:id="39" w:name="_Toc376433514"/>
      <w:r>
        <w:rPr>
          <w:rFonts w:hint="eastAsia" w:ascii="宋体" w:hAnsi="宋体"/>
          <w:b/>
          <w:bCs/>
          <w:sz w:val="21"/>
          <w:highlight w:val="none"/>
        </w:rPr>
        <w:t>四、磋商响应文件的递交</w:t>
      </w:r>
      <w:bookmarkEnd w:id="30"/>
      <w:bookmarkEnd w:id="31"/>
      <w:bookmarkEnd w:id="32"/>
      <w:bookmarkEnd w:id="33"/>
      <w:bookmarkEnd w:id="34"/>
      <w:bookmarkEnd w:id="35"/>
      <w:bookmarkEnd w:id="36"/>
      <w:bookmarkEnd w:id="37"/>
      <w:bookmarkEnd w:id="38"/>
      <w:bookmarkEnd w:id="39"/>
    </w:p>
    <w:p>
      <w:pPr>
        <w:numPr>
          <w:ilvl w:val="0"/>
          <w:numId w:val="7"/>
        </w:numPr>
        <w:adjustRightInd w:val="0"/>
        <w:snapToGrid w:val="0"/>
        <w:spacing w:line="360" w:lineRule="auto"/>
        <w:ind w:left="357" w:hanging="357"/>
        <w:rPr>
          <w:rFonts w:ascii="宋体" w:hAnsi="宋体"/>
          <w:sz w:val="21"/>
          <w:highlight w:val="none"/>
        </w:rPr>
      </w:pPr>
      <w:r>
        <w:rPr>
          <w:rFonts w:hint="eastAsia" w:ascii="宋体" w:hAnsi="宋体"/>
          <w:sz w:val="21"/>
          <w:highlight w:val="none"/>
        </w:rPr>
        <w:t>磋商响应文件的密封和标记</w:t>
      </w:r>
    </w:p>
    <w:p>
      <w:pPr>
        <w:kinsoku w:val="0"/>
        <w:overflowPunct w:val="0"/>
        <w:adjustRightInd w:val="0"/>
        <w:snapToGrid w:val="0"/>
        <w:spacing w:line="360" w:lineRule="auto"/>
        <w:ind w:left="416" w:hanging="416"/>
        <w:rPr>
          <w:rFonts w:ascii="宋体" w:hAnsi="宋体"/>
          <w:kern w:val="0"/>
          <w:sz w:val="21"/>
          <w:highlight w:val="none"/>
        </w:rPr>
      </w:pPr>
      <w:r>
        <w:rPr>
          <w:rFonts w:hint="eastAsia" w:ascii="宋体" w:hAnsi="宋体"/>
          <w:kern w:val="0"/>
          <w:sz w:val="21"/>
          <w:highlight w:val="none"/>
        </w:rPr>
        <w:t>19.1响应供应商应将磋商响应文件正本和副本分别用信封密封(密封处加盖供应商公章)，并标明项目编号、磋商标的物名称及正本和副本。</w:t>
      </w:r>
    </w:p>
    <w:p>
      <w:pPr>
        <w:kinsoku w:val="0"/>
        <w:overflowPunct w:val="0"/>
        <w:adjustRightInd w:val="0"/>
        <w:snapToGrid w:val="0"/>
        <w:spacing w:line="360" w:lineRule="auto"/>
        <w:ind w:left="416" w:hanging="416"/>
        <w:rPr>
          <w:rFonts w:ascii="宋体" w:hAnsi="宋体"/>
          <w:kern w:val="0"/>
          <w:sz w:val="21"/>
          <w:highlight w:val="none"/>
        </w:rPr>
      </w:pPr>
      <w:r>
        <w:rPr>
          <w:rFonts w:hint="eastAsia" w:ascii="宋体" w:hAnsi="宋体"/>
          <w:kern w:val="0"/>
          <w:sz w:val="21"/>
          <w:highlight w:val="none"/>
        </w:rPr>
        <w:t>19.2每一密封信封上注明“于　　　　　　之前（指采购邀请中规定的磋商日期及时间）不准启封”</w:t>
      </w:r>
      <w:r>
        <w:rPr>
          <w:rFonts w:hint="eastAsia" w:ascii="宋体" w:hAnsi="宋体"/>
          <w:kern w:val="0"/>
          <w:sz w:val="21"/>
          <w:highlight w:val="none"/>
        </w:rPr>
        <w:tab/>
      </w:r>
      <w:r>
        <w:rPr>
          <w:rFonts w:hint="eastAsia" w:ascii="宋体" w:hAnsi="宋体"/>
          <w:kern w:val="0"/>
          <w:sz w:val="21"/>
          <w:highlight w:val="none"/>
        </w:rPr>
        <w:t>的字样。</w:t>
      </w:r>
    </w:p>
    <w:p>
      <w:pPr>
        <w:kinsoku w:val="0"/>
        <w:overflowPunct w:val="0"/>
        <w:adjustRightInd w:val="0"/>
        <w:snapToGrid w:val="0"/>
        <w:spacing w:line="360" w:lineRule="auto"/>
        <w:ind w:left="416" w:hanging="416"/>
        <w:rPr>
          <w:rFonts w:ascii="宋体" w:hAnsi="宋体"/>
          <w:kern w:val="0"/>
          <w:sz w:val="21"/>
          <w:highlight w:val="none"/>
        </w:rPr>
      </w:pPr>
      <w:r>
        <w:rPr>
          <w:rFonts w:hint="eastAsia" w:ascii="宋体" w:hAnsi="宋体"/>
          <w:kern w:val="0"/>
          <w:sz w:val="21"/>
          <w:highlight w:val="none"/>
        </w:rPr>
        <w:t>19.3如磋商响应文件由专人送交，响应供应商应将磋商响应文件按19.1-19.2中的规定进行密封和标记后，按采购邀请注明的地址送至指定地点。</w:t>
      </w:r>
    </w:p>
    <w:p>
      <w:pPr>
        <w:kinsoku w:val="0"/>
        <w:overflowPunct w:val="0"/>
        <w:adjustRightInd w:val="0"/>
        <w:snapToGrid w:val="0"/>
        <w:spacing w:line="360" w:lineRule="auto"/>
        <w:rPr>
          <w:rFonts w:ascii="宋体" w:hAnsi="宋体"/>
          <w:kern w:val="0"/>
          <w:sz w:val="21"/>
          <w:highlight w:val="none"/>
        </w:rPr>
      </w:pPr>
      <w:r>
        <w:rPr>
          <w:rFonts w:hint="eastAsia" w:ascii="宋体" w:hAnsi="宋体"/>
          <w:kern w:val="0"/>
          <w:sz w:val="21"/>
          <w:highlight w:val="none"/>
        </w:rPr>
        <w:t>19.4如果磋商响应文件通过邮寄递交，响应供应商应将磋商响应文件用内、外两层信封密封。</w:t>
      </w:r>
    </w:p>
    <w:p>
      <w:pPr>
        <w:numPr>
          <w:ilvl w:val="0"/>
          <w:numId w:val="14"/>
        </w:numPr>
        <w:tabs>
          <w:tab w:val="left" w:pos="855"/>
        </w:tabs>
        <w:adjustRightInd w:val="0"/>
        <w:snapToGrid w:val="0"/>
        <w:spacing w:line="360" w:lineRule="auto"/>
        <w:rPr>
          <w:rFonts w:ascii="宋体" w:hAnsi="宋体"/>
          <w:sz w:val="21"/>
          <w:highlight w:val="none"/>
        </w:rPr>
      </w:pPr>
      <w:r>
        <w:rPr>
          <w:rFonts w:hint="eastAsia" w:ascii="宋体" w:hAnsi="宋体"/>
          <w:sz w:val="21"/>
          <w:highlight w:val="none"/>
        </w:rPr>
        <w:t>内层信封的封装于标记同19.1-19.2 规定。</w:t>
      </w:r>
    </w:p>
    <w:p>
      <w:pPr>
        <w:numPr>
          <w:ilvl w:val="0"/>
          <w:numId w:val="14"/>
        </w:numPr>
        <w:tabs>
          <w:tab w:val="left" w:pos="855"/>
        </w:tabs>
        <w:adjustRightInd w:val="0"/>
        <w:snapToGrid w:val="0"/>
        <w:spacing w:line="360" w:lineRule="auto"/>
        <w:rPr>
          <w:rFonts w:ascii="宋体" w:hAnsi="宋体"/>
          <w:sz w:val="21"/>
          <w:highlight w:val="none"/>
        </w:rPr>
      </w:pPr>
      <w:r>
        <w:rPr>
          <w:rFonts w:hint="eastAsia" w:ascii="宋体" w:hAnsi="宋体"/>
          <w:sz w:val="21"/>
          <w:highlight w:val="none"/>
        </w:rPr>
        <w:t>外层信封装入19.1及19.2所述全部内封资料，并注明项目编号、标的物名称、响应供应商名称、地址。同时应写明响应供应商的名称、地址，以便将迟交的磋商响应文件原封退还。</w:t>
      </w:r>
    </w:p>
    <w:p>
      <w:pPr>
        <w:kinsoku w:val="0"/>
        <w:overflowPunct w:val="0"/>
        <w:adjustRightInd w:val="0"/>
        <w:snapToGrid w:val="0"/>
        <w:spacing w:line="360" w:lineRule="auto"/>
        <w:rPr>
          <w:rFonts w:ascii="宋体" w:hAnsi="宋体"/>
          <w:kern w:val="0"/>
          <w:sz w:val="21"/>
          <w:highlight w:val="none"/>
        </w:rPr>
      </w:pPr>
      <w:r>
        <w:rPr>
          <w:rFonts w:hint="eastAsia" w:ascii="宋体" w:hAnsi="宋体"/>
          <w:kern w:val="0"/>
          <w:sz w:val="21"/>
          <w:highlight w:val="none"/>
        </w:rPr>
        <w:t>19.5如果未按上述规定进行密封和标记，采购代理机构对磋商响应文件的误投或提前拆封不负责任。</w:t>
      </w:r>
    </w:p>
    <w:p>
      <w:pPr>
        <w:numPr>
          <w:ilvl w:val="0"/>
          <w:numId w:val="7"/>
        </w:numPr>
        <w:adjustRightInd w:val="0"/>
        <w:snapToGrid w:val="0"/>
        <w:spacing w:line="360" w:lineRule="auto"/>
        <w:ind w:left="357" w:hanging="357"/>
        <w:rPr>
          <w:rFonts w:ascii="宋体" w:hAnsi="宋体"/>
          <w:sz w:val="21"/>
          <w:highlight w:val="none"/>
        </w:rPr>
      </w:pPr>
      <w:r>
        <w:rPr>
          <w:rFonts w:hint="eastAsia" w:ascii="宋体" w:hAnsi="宋体"/>
          <w:sz w:val="21"/>
          <w:highlight w:val="none"/>
        </w:rPr>
        <w:t>递交磋商响应文件的截止时间</w:t>
      </w:r>
    </w:p>
    <w:p>
      <w:pPr>
        <w:kinsoku w:val="0"/>
        <w:overflowPunct w:val="0"/>
        <w:adjustRightInd w:val="0"/>
        <w:snapToGrid w:val="0"/>
        <w:spacing w:line="360" w:lineRule="auto"/>
        <w:ind w:left="416" w:hanging="416"/>
        <w:rPr>
          <w:rFonts w:ascii="宋体" w:hAnsi="宋体"/>
          <w:kern w:val="0"/>
          <w:sz w:val="21"/>
          <w:highlight w:val="none"/>
        </w:rPr>
      </w:pPr>
      <w:r>
        <w:rPr>
          <w:rFonts w:hint="eastAsia" w:ascii="宋体" w:hAnsi="宋体"/>
          <w:kern w:val="0"/>
          <w:sz w:val="21"/>
          <w:highlight w:val="none"/>
        </w:rPr>
        <w:t>20.1根据21 条规定，所有磋商响应文件不论派人送交还是通过邮寄递交，都必须按采购代理机构在采购邀请中规定的磋商截止时间之前送至指定地点。</w:t>
      </w:r>
    </w:p>
    <w:p>
      <w:pPr>
        <w:kinsoku w:val="0"/>
        <w:overflowPunct w:val="0"/>
        <w:adjustRightInd w:val="0"/>
        <w:snapToGrid w:val="0"/>
        <w:spacing w:line="360" w:lineRule="auto"/>
        <w:ind w:left="416" w:hanging="416"/>
        <w:rPr>
          <w:rFonts w:ascii="宋体" w:hAnsi="宋体"/>
          <w:kern w:val="0"/>
          <w:sz w:val="21"/>
          <w:highlight w:val="none"/>
        </w:rPr>
      </w:pPr>
      <w:r>
        <w:rPr>
          <w:rFonts w:hint="eastAsia" w:ascii="宋体" w:hAnsi="宋体"/>
          <w:kern w:val="0"/>
          <w:sz w:val="21"/>
          <w:highlight w:val="none"/>
        </w:rPr>
        <w:t>20.2出现因磋商文件的修改推迟磋商截止日期时，则按采购代理机构修改通知规定的时间递交。</w:t>
      </w:r>
    </w:p>
    <w:p>
      <w:pPr>
        <w:numPr>
          <w:ilvl w:val="0"/>
          <w:numId w:val="7"/>
        </w:numPr>
        <w:adjustRightInd w:val="0"/>
        <w:snapToGrid w:val="0"/>
        <w:spacing w:line="360" w:lineRule="auto"/>
        <w:ind w:left="357" w:hanging="357"/>
        <w:rPr>
          <w:rFonts w:ascii="宋体" w:hAnsi="宋体"/>
          <w:sz w:val="21"/>
          <w:highlight w:val="none"/>
        </w:rPr>
      </w:pPr>
      <w:r>
        <w:rPr>
          <w:rFonts w:hint="eastAsia" w:ascii="宋体" w:hAnsi="宋体"/>
          <w:sz w:val="21"/>
          <w:highlight w:val="none"/>
        </w:rPr>
        <w:t>迟交的磋商响应文件</w:t>
      </w:r>
    </w:p>
    <w:p>
      <w:pPr>
        <w:adjustRightInd w:val="0"/>
        <w:snapToGrid w:val="0"/>
        <w:spacing w:line="360" w:lineRule="auto"/>
        <w:rPr>
          <w:rFonts w:ascii="宋体" w:hAnsi="宋体"/>
          <w:kern w:val="0"/>
          <w:sz w:val="21"/>
          <w:highlight w:val="none"/>
        </w:rPr>
      </w:pPr>
      <w:r>
        <w:rPr>
          <w:rFonts w:hint="eastAsia" w:ascii="宋体" w:hAnsi="宋体"/>
          <w:kern w:val="0"/>
          <w:sz w:val="21"/>
          <w:highlight w:val="none"/>
        </w:rPr>
        <w:t>21.1采购代理机构将拒绝在磋商截止时间后收到的磋商响应文件。</w:t>
      </w:r>
    </w:p>
    <w:p>
      <w:pPr>
        <w:numPr>
          <w:ilvl w:val="0"/>
          <w:numId w:val="7"/>
        </w:numPr>
        <w:adjustRightInd w:val="0"/>
        <w:snapToGrid w:val="0"/>
        <w:spacing w:line="360" w:lineRule="auto"/>
        <w:ind w:left="357" w:hanging="357"/>
        <w:rPr>
          <w:rFonts w:ascii="宋体" w:hAnsi="宋体"/>
          <w:sz w:val="21"/>
          <w:highlight w:val="none"/>
        </w:rPr>
      </w:pPr>
      <w:r>
        <w:rPr>
          <w:rFonts w:hint="eastAsia" w:ascii="宋体" w:hAnsi="宋体"/>
          <w:sz w:val="21"/>
          <w:highlight w:val="none"/>
        </w:rPr>
        <w:t>磋商响应文件的修改和撤销</w:t>
      </w:r>
    </w:p>
    <w:p>
      <w:pPr>
        <w:kinsoku w:val="0"/>
        <w:overflowPunct w:val="0"/>
        <w:adjustRightInd w:val="0"/>
        <w:snapToGrid w:val="0"/>
        <w:spacing w:line="360" w:lineRule="auto"/>
        <w:ind w:left="416" w:hanging="416"/>
        <w:rPr>
          <w:rFonts w:ascii="宋体" w:hAnsi="宋体"/>
          <w:kern w:val="0"/>
          <w:sz w:val="21"/>
          <w:highlight w:val="none"/>
        </w:rPr>
      </w:pPr>
      <w:r>
        <w:rPr>
          <w:rFonts w:hint="eastAsia" w:ascii="宋体" w:hAnsi="宋体"/>
          <w:sz w:val="21"/>
          <w:highlight w:val="none"/>
        </w:rPr>
        <w:t>22.1响应供应商在提交磋商响应文件后可对其磋商响应文件进行修改或撤销，但采购代理机构须在磋商截止</w:t>
      </w:r>
      <w:r>
        <w:rPr>
          <w:rFonts w:hint="eastAsia" w:ascii="宋体" w:hAnsi="宋体"/>
          <w:kern w:val="0"/>
          <w:sz w:val="21"/>
          <w:highlight w:val="none"/>
        </w:rPr>
        <w:t>时间之前收到该修改或撤销的书面通知，该通知须有正式授权的响应供应商授权代表签字。</w:t>
      </w:r>
    </w:p>
    <w:p>
      <w:pPr>
        <w:kinsoku w:val="0"/>
        <w:overflowPunct w:val="0"/>
        <w:autoSpaceDN w:val="0"/>
        <w:adjustRightInd w:val="0"/>
        <w:snapToGrid w:val="0"/>
        <w:spacing w:line="360" w:lineRule="auto"/>
        <w:ind w:left="416" w:hanging="416"/>
        <w:rPr>
          <w:rFonts w:ascii="宋体" w:hAnsi="宋体"/>
          <w:kern w:val="0"/>
          <w:sz w:val="21"/>
          <w:highlight w:val="none"/>
        </w:rPr>
      </w:pPr>
      <w:r>
        <w:rPr>
          <w:rFonts w:hint="eastAsia" w:ascii="宋体" w:hAnsi="宋体"/>
          <w:kern w:val="0"/>
          <w:sz w:val="21"/>
          <w:highlight w:val="none"/>
        </w:rPr>
        <w:t>22.2 响应供应商对磋商响应文件修改的书面材料或撤销的通知应按第18和19条规定进行编写、密封、标注和递送，并注明“修改磋商响应文件”或“撤销磋商”字样。</w:t>
      </w:r>
    </w:p>
    <w:p>
      <w:pPr>
        <w:kinsoku w:val="0"/>
        <w:overflowPunct w:val="0"/>
        <w:autoSpaceDN w:val="0"/>
        <w:adjustRightInd w:val="0"/>
        <w:snapToGrid w:val="0"/>
        <w:spacing w:line="360" w:lineRule="auto"/>
        <w:ind w:left="416" w:hanging="416"/>
        <w:rPr>
          <w:rFonts w:ascii="宋体" w:hAnsi="宋体"/>
          <w:kern w:val="0"/>
          <w:sz w:val="21"/>
          <w:highlight w:val="none"/>
        </w:rPr>
      </w:pPr>
      <w:r>
        <w:rPr>
          <w:rFonts w:hint="eastAsia" w:ascii="宋体" w:hAnsi="宋体"/>
          <w:kern w:val="0"/>
          <w:sz w:val="21"/>
          <w:highlight w:val="none"/>
        </w:rPr>
        <w:t>22.3 磋商截止时间以后不得修改磋商响应文件。</w:t>
      </w:r>
    </w:p>
    <w:p>
      <w:pPr>
        <w:kinsoku w:val="0"/>
        <w:overflowPunct w:val="0"/>
        <w:autoSpaceDN w:val="0"/>
        <w:adjustRightInd w:val="0"/>
        <w:snapToGrid w:val="0"/>
        <w:spacing w:line="360" w:lineRule="auto"/>
        <w:ind w:left="416" w:hanging="416"/>
        <w:rPr>
          <w:rFonts w:ascii="宋体" w:hAnsi="宋体"/>
          <w:kern w:val="0"/>
          <w:sz w:val="21"/>
          <w:highlight w:val="none"/>
        </w:rPr>
      </w:pPr>
      <w:r>
        <w:rPr>
          <w:rFonts w:hint="eastAsia" w:ascii="宋体" w:hAnsi="宋体"/>
          <w:kern w:val="0"/>
          <w:sz w:val="21"/>
          <w:highlight w:val="none"/>
        </w:rPr>
        <w:t>22.4 响应供应商不得在磋商时间起至磋商响应文件有效期前撤销磋商响应文件，负责将承担响应法律责任。</w:t>
      </w:r>
    </w:p>
    <w:p>
      <w:pPr>
        <w:kinsoku w:val="0"/>
        <w:overflowPunct w:val="0"/>
        <w:autoSpaceDN w:val="0"/>
        <w:adjustRightInd w:val="0"/>
        <w:snapToGrid w:val="0"/>
        <w:spacing w:line="360" w:lineRule="auto"/>
        <w:ind w:left="416" w:hanging="416"/>
        <w:rPr>
          <w:rFonts w:ascii="宋体" w:hAnsi="宋体"/>
          <w:kern w:val="0"/>
          <w:sz w:val="21"/>
          <w:highlight w:val="none"/>
        </w:rPr>
      </w:pPr>
    </w:p>
    <w:p>
      <w:pPr>
        <w:spacing w:line="360" w:lineRule="auto"/>
        <w:outlineLvl w:val="1"/>
        <w:rPr>
          <w:rFonts w:ascii="宋体" w:hAnsi="宋体"/>
          <w:b/>
          <w:bCs/>
          <w:sz w:val="21"/>
          <w:highlight w:val="none"/>
        </w:rPr>
      </w:pPr>
      <w:bookmarkStart w:id="40" w:name="_Toc374964370"/>
      <w:bookmarkStart w:id="41" w:name="_Toc381015699"/>
      <w:bookmarkStart w:id="42" w:name="_Toc374000534"/>
      <w:bookmarkStart w:id="43" w:name="_Toc380996588"/>
      <w:bookmarkStart w:id="44" w:name="_Toc376433515"/>
      <w:bookmarkStart w:id="45" w:name="_Toc374364288"/>
      <w:bookmarkStart w:id="46" w:name="_Toc374001382"/>
      <w:bookmarkStart w:id="47" w:name="_Toc16683"/>
      <w:bookmarkStart w:id="48" w:name="_Toc21032"/>
      <w:bookmarkStart w:id="49" w:name="_Toc437613706"/>
      <w:r>
        <w:rPr>
          <w:rFonts w:hint="eastAsia" w:ascii="宋体" w:hAnsi="宋体"/>
          <w:b/>
          <w:bCs/>
          <w:sz w:val="21"/>
          <w:highlight w:val="none"/>
        </w:rPr>
        <w:t>五、</w:t>
      </w:r>
      <w:bookmarkEnd w:id="40"/>
      <w:bookmarkEnd w:id="41"/>
      <w:bookmarkEnd w:id="42"/>
      <w:bookmarkEnd w:id="43"/>
      <w:bookmarkEnd w:id="44"/>
      <w:bookmarkEnd w:id="45"/>
      <w:bookmarkEnd w:id="46"/>
      <w:r>
        <w:rPr>
          <w:rFonts w:hint="eastAsia" w:ascii="宋体" w:hAnsi="宋体"/>
          <w:b/>
          <w:bCs/>
          <w:sz w:val="21"/>
          <w:highlight w:val="none"/>
        </w:rPr>
        <w:t>磋商及评审</w:t>
      </w:r>
      <w:bookmarkEnd w:id="47"/>
      <w:bookmarkEnd w:id="48"/>
      <w:bookmarkEnd w:id="49"/>
    </w:p>
    <w:p>
      <w:pPr>
        <w:numPr>
          <w:ilvl w:val="0"/>
          <w:numId w:val="7"/>
        </w:numPr>
        <w:adjustRightInd w:val="0"/>
        <w:snapToGrid w:val="0"/>
        <w:spacing w:line="360" w:lineRule="auto"/>
        <w:ind w:left="357" w:hanging="357"/>
        <w:rPr>
          <w:rFonts w:ascii="宋体" w:hAnsi="宋体"/>
          <w:sz w:val="21"/>
          <w:highlight w:val="none"/>
        </w:rPr>
      </w:pPr>
      <w:r>
        <w:rPr>
          <w:rFonts w:hint="eastAsia" w:ascii="宋体" w:hAnsi="宋体"/>
          <w:sz w:val="21"/>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磋商小组会对响应文件进行审查、质疑、评估和比较。</w:t>
      </w:r>
    </w:p>
    <w:p>
      <w:pPr>
        <w:numPr>
          <w:ilvl w:val="0"/>
          <w:numId w:val="7"/>
        </w:numPr>
        <w:adjustRightInd w:val="0"/>
        <w:snapToGrid w:val="0"/>
        <w:spacing w:line="360" w:lineRule="auto"/>
        <w:ind w:left="357" w:hanging="357"/>
        <w:rPr>
          <w:rFonts w:ascii="宋体" w:hAnsi="宋体"/>
          <w:sz w:val="21"/>
          <w:highlight w:val="none"/>
        </w:rPr>
      </w:pPr>
      <w:r>
        <w:rPr>
          <w:rFonts w:hint="eastAsia" w:ascii="宋体" w:hAnsi="宋体"/>
          <w:sz w:val="21"/>
          <w:highlight w:val="none"/>
        </w:rPr>
        <w:t>对磋商响应文件的审查和响应性的确定</w:t>
      </w:r>
    </w:p>
    <w:p>
      <w:pPr>
        <w:spacing w:line="360" w:lineRule="auto"/>
        <w:rPr>
          <w:rFonts w:ascii="宋体" w:hAnsi="宋体"/>
          <w:sz w:val="21"/>
          <w:highlight w:val="none"/>
        </w:rPr>
      </w:pPr>
      <w:r>
        <w:rPr>
          <w:rFonts w:hint="eastAsia" w:ascii="宋体" w:hAnsi="宋体"/>
          <w:sz w:val="21"/>
          <w:highlight w:val="none"/>
        </w:rPr>
        <w:t>24.1评审分为资格性检查和符合性检查。</w:t>
      </w:r>
    </w:p>
    <w:p>
      <w:pPr>
        <w:numPr>
          <w:ilvl w:val="0"/>
          <w:numId w:val="15"/>
        </w:numPr>
        <w:tabs>
          <w:tab w:val="left" w:pos="1134"/>
        </w:tabs>
        <w:spacing w:line="360" w:lineRule="auto"/>
        <w:rPr>
          <w:rFonts w:ascii="宋体" w:hAnsi="宋体"/>
          <w:sz w:val="21"/>
          <w:highlight w:val="none"/>
        </w:rPr>
      </w:pPr>
      <w:r>
        <w:rPr>
          <w:rFonts w:hint="eastAsia" w:ascii="宋体" w:hAnsi="宋体"/>
          <w:sz w:val="21"/>
          <w:highlight w:val="none"/>
        </w:rPr>
        <w:t>资格性检查。参照法律法规和磋商文件的规定，对响应文件中的资格证明等进行审查，以确定响应供应商是否具备响应资格。</w:t>
      </w:r>
    </w:p>
    <w:p>
      <w:pPr>
        <w:numPr>
          <w:ilvl w:val="0"/>
          <w:numId w:val="15"/>
        </w:numPr>
        <w:tabs>
          <w:tab w:val="left" w:pos="1134"/>
        </w:tabs>
        <w:spacing w:line="360" w:lineRule="auto"/>
        <w:rPr>
          <w:rFonts w:ascii="宋体" w:hAnsi="宋体"/>
          <w:sz w:val="21"/>
          <w:highlight w:val="none"/>
        </w:rPr>
      </w:pPr>
      <w:r>
        <w:rPr>
          <w:rFonts w:hint="eastAsia" w:ascii="宋体" w:hAnsi="宋体"/>
          <w:sz w:val="21"/>
          <w:highlight w:val="none"/>
        </w:rPr>
        <w:t>符合性检查。依据磋商文件的规定，从响应文件的有效性、完整性和对磋商文件的响应程度进行审查，以确定是否对磋商文件的实质性要求做出响应。磋商小组决定响应文件的响应性只根据响应文件真实无误的内容，而不依据外部的证据，但响应文件有不真实、不正确的内容时除外。</w:t>
      </w:r>
    </w:p>
    <w:p>
      <w:pPr>
        <w:numPr>
          <w:ilvl w:val="0"/>
          <w:numId w:val="15"/>
        </w:numPr>
        <w:tabs>
          <w:tab w:val="left" w:pos="1134"/>
        </w:tabs>
        <w:spacing w:line="360" w:lineRule="auto"/>
        <w:rPr>
          <w:rFonts w:ascii="宋体" w:hAnsi="宋体"/>
          <w:sz w:val="21"/>
          <w:highlight w:val="none"/>
        </w:rPr>
      </w:pPr>
      <w:r>
        <w:rPr>
          <w:rFonts w:hint="eastAsia" w:ascii="宋体" w:hAnsi="宋体"/>
          <w:sz w:val="21"/>
          <w:highlight w:val="none"/>
        </w:rPr>
        <w:t>响应供应商不得通过修正或撤销不合要求的偏离从而使其响应成为实质上响应的响应。</w:t>
      </w:r>
    </w:p>
    <w:p>
      <w:pPr>
        <w:spacing w:line="360" w:lineRule="auto"/>
        <w:ind w:left="416" w:hanging="416"/>
        <w:rPr>
          <w:rFonts w:ascii="宋体" w:hAnsi="宋体"/>
          <w:sz w:val="21"/>
          <w:highlight w:val="none"/>
        </w:rPr>
      </w:pPr>
      <w:r>
        <w:rPr>
          <w:rFonts w:hint="eastAsia" w:ascii="宋体" w:hAnsi="宋体"/>
          <w:sz w:val="21"/>
          <w:highlight w:val="none"/>
        </w:rPr>
        <w:t>24.2响应文件属下列情况之一的，应当在资格性、符合性检查时按照无效响应处理，（包括前附表内的无效响应条款）</w:t>
      </w:r>
    </w:p>
    <w:p>
      <w:pPr>
        <w:numPr>
          <w:ilvl w:val="0"/>
          <w:numId w:val="16"/>
        </w:numPr>
        <w:tabs>
          <w:tab w:val="left" w:pos="776"/>
        </w:tabs>
        <w:spacing w:line="360" w:lineRule="auto"/>
        <w:rPr>
          <w:rFonts w:ascii="宋体" w:hAnsi="宋体"/>
          <w:sz w:val="21"/>
          <w:highlight w:val="none"/>
        </w:rPr>
      </w:pPr>
      <w:r>
        <w:rPr>
          <w:rFonts w:hint="eastAsia" w:ascii="宋体" w:hAnsi="宋体"/>
          <w:sz w:val="21"/>
          <w:highlight w:val="none"/>
        </w:rPr>
        <w:t>不符合公告中合格响应供应商应具备的相关资质条件；</w:t>
      </w:r>
    </w:p>
    <w:p>
      <w:pPr>
        <w:numPr>
          <w:ilvl w:val="0"/>
          <w:numId w:val="16"/>
        </w:numPr>
        <w:tabs>
          <w:tab w:val="left" w:pos="776"/>
        </w:tabs>
        <w:spacing w:line="360" w:lineRule="auto"/>
        <w:rPr>
          <w:rFonts w:ascii="宋体" w:hAnsi="宋体"/>
          <w:sz w:val="21"/>
          <w:highlight w:val="none"/>
        </w:rPr>
      </w:pPr>
      <w:r>
        <w:rPr>
          <w:rFonts w:hint="eastAsia" w:ascii="宋体" w:hAnsi="宋体"/>
          <w:sz w:val="21"/>
          <w:highlight w:val="none"/>
        </w:rPr>
        <w:t>不满足磋商文件中明确设定的实质性条款（</w:t>
      </w:r>
      <w:r>
        <w:rPr>
          <w:rFonts w:hint="eastAsia" w:ascii="宋体" w:hAnsi="宋体" w:cs="宋体"/>
          <w:sz w:val="21"/>
          <w:highlight w:val="none"/>
        </w:rPr>
        <w:t>★</w:t>
      </w:r>
      <w:r>
        <w:rPr>
          <w:rFonts w:hint="eastAsia" w:ascii="宋体" w:hAnsi="宋体"/>
          <w:sz w:val="21"/>
          <w:highlight w:val="none"/>
        </w:rPr>
        <w:t>号指标），未实质性响应竞争性磋商文件；</w:t>
      </w:r>
    </w:p>
    <w:p>
      <w:pPr>
        <w:numPr>
          <w:ilvl w:val="0"/>
          <w:numId w:val="16"/>
        </w:numPr>
        <w:tabs>
          <w:tab w:val="left" w:pos="776"/>
        </w:tabs>
        <w:spacing w:line="360" w:lineRule="auto"/>
        <w:rPr>
          <w:rFonts w:ascii="宋体" w:hAnsi="宋体"/>
          <w:sz w:val="21"/>
          <w:highlight w:val="none"/>
        </w:rPr>
      </w:pPr>
      <w:r>
        <w:rPr>
          <w:rFonts w:hint="eastAsia" w:ascii="宋体" w:hAnsi="宋体"/>
          <w:sz w:val="21"/>
          <w:highlight w:val="none"/>
        </w:rPr>
        <w:t>响应文件未按照磋商文件规定要求签署、盖公章的；法人授权委托书未由法定代表人签字或盖公章的、未盖公章的；其它需要由法定代表人或受委托人签字或盖章的材料未由法定代表人或受委托人签字或盖章的；法定代表人名字与响应供应商证照上不一致的；</w:t>
      </w:r>
    </w:p>
    <w:p>
      <w:pPr>
        <w:numPr>
          <w:ilvl w:val="0"/>
          <w:numId w:val="16"/>
        </w:numPr>
        <w:tabs>
          <w:tab w:val="left" w:pos="776"/>
        </w:tabs>
        <w:spacing w:line="360" w:lineRule="auto"/>
        <w:rPr>
          <w:rFonts w:ascii="宋体" w:hAnsi="宋体"/>
          <w:sz w:val="21"/>
          <w:highlight w:val="none"/>
        </w:rPr>
      </w:pPr>
      <w:r>
        <w:rPr>
          <w:rFonts w:hint="eastAsia" w:ascii="宋体" w:hAnsi="宋体"/>
          <w:sz w:val="21"/>
          <w:highlight w:val="none"/>
        </w:rPr>
        <w:t>受委托人与响应文件中授权委托书所载内容有异的；</w:t>
      </w:r>
    </w:p>
    <w:p>
      <w:pPr>
        <w:numPr>
          <w:ilvl w:val="0"/>
          <w:numId w:val="16"/>
        </w:numPr>
        <w:tabs>
          <w:tab w:val="left" w:pos="776"/>
        </w:tabs>
        <w:spacing w:line="360" w:lineRule="auto"/>
        <w:rPr>
          <w:rFonts w:ascii="宋体" w:hAnsi="宋体"/>
          <w:sz w:val="21"/>
          <w:highlight w:val="none"/>
        </w:rPr>
      </w:pPr>
      <w:r>
        <w:rPr>
          <w:rFonts w:hint="eastAsia" w:ascii="宋体" w:hAnsi="宋体"/>
          <w:sz w:val="21"/>
          <w:highlight w:val="none"/>
        </w:rPr>
        <w:t>未提供有效的受委托人身份证（或符合国家法律法规的其他有效身份证明材料，例如外籍人士应提供有效护照等）</w:t>
      </w:r>
    </w:p>
    <w:p>
      <w:pPr>
        <w:numPr>
          <w:ilvl w:val="0"/>
          <w:numId w:val="16"/>
        </w:numPr>
        <w:spacing w:line="360" w:lineRule="auto"/>
        <w:rPr>
          <w:rFonts w:ascii="宋体" w:hAnsi="宋体"/>
          <w:sz w:val="21"/>
          <w:highlight w:val="none"/>
        </w:rPr>
      </w:pPr>
      <w:r>
        <w:rPr>
          <w:rFonts w:hint="eastAsia" w:ascii="宋体" w:hAnsi="宋体"/>
          <w:sz w:val="21"/>
          <w:highlight w:val="none"/>
        </w:rPr>
        <w:t>响应有效期不足的；</w:t>
      </w:r>
    </w:p>
    <w:p>
      <w:pPr>
        <w:numPr>
          <w:ilvl w:val="0"/>
          <w:numId w:val="16"/>
        </w:numPr>
        <w:spacing w:line="360" w:lineRule="auto"/>
        <w:rPr>
          <w:rFonts w:ascii="宋体" w:hAnsi="宋体"/>
          <w:sz w:val="21"/>
          <w:highlight w:val="none"/>
        </w:rPr>
      </w:pPr>
      <w:r>
        <w:rPr>
          <w:rFonts w:hint="eastAsia" w:ascii="宋体" w:hAnsi="宋体"/>
          <w:sz w:val="21"/>
          <w:highlight w:val="none"/>
        </w:rPr>
        <w:t>不满足其他法律、法规所规定的。</w:t>
      </w:r>
    </w:p>
    <w:p>
      <w:pPr>
        <w:tabs>
          <w:tab w:val="left" w:pos="540"/>
        </w:tabs>
        <w:overflowPunct w:val="0"/>
        <w:autoSpaceDN w:val="0"/>
        <w:adjustRightInd w:val="0"/>
        <w:snapToGrid w:val="0"/>
        <w:spacing w:line="360" w:lineRule="auto"/>
        <w:rPr>
          <w:rFonts w:ascii="宋体" w:hAnsi="宋体"/>
          <w:kern w:val="0"/>
          <w:sz w:val="21"/>
          <w:highlight w:val="none"/>
        </w:rPr>
      </w:pPr>
      <w:r>
        <w:rPr>
          <w:rFonts w:hint="eastAsia" w:ascii="宋体" w:hAnsi="宋体"/>
          <w:kern w:val="0"/>
          <w:sz w:val="21"/>
          <w:highlight w:val="none"/>
        </w:rPr>
        <w:t>24.3磋商小组判断磋商响应文件的响应性仅基于磋商响应文件本身而不靠外部证据。</w:t>
      </w:r>
    </w:p>
    <w:p>
      <w:pPr>
        <w:pStyle w:val="24"/>
        <w:overflowPunct w:val="0"/>
        <w:autoSpaceDN w:val="0"/>
        <w:adjustRightInd w:val="0"/>
        <w:snapToGrid w:val="0"/>
        <w:spacing w:line="360" w:lineRule="auto"/>
        <w:ind w:left="416" w:hanging="416"/>
        <w:rPr>
          <w:rFonts w:hAnsi="宋体"/>
          <w:sz w:val="21"/>
          <w:szCs w:val="21"/>
          <w:highlight w:val="none"/>
        </w:rPr>
      </w:pPr>
      <w:r>
        <w:rPr>
          <w:rFonts w:hint="eastAsia" w:hAnsi="宋体"/>
          <w:sz w:val="21"/>
          <w:szCs w:val="21"/>
          <w:highlight w:val="none"/>
        </w:rPr>
        <w:t>24.4磋商小组将拒绝被确定为非实质性响应的磋商响应文件，响应供应商不能通过修正或撤销不符之处而使其文件成为实质性响应的文件。</w:t>
      </w:r>
    </w:p>
    <w:p>
      <w:pPr>
        <w:pStyle w:val="24"/>
        <w:overflowPunct w:val="0"/>
        <w:autoSpaceDN w:val="0"/>
        <w:adjustRightInd w:val="0"/>
        <w:snapToGrid w:val="0"/>
        <w:spacing w:line="360" w:lineRule="auto"/>
        <w:ind w:left="416" w:hanging="416"/>
        <w:rPr>
          <w:rFonts w:hAnsi="宋体"/>
          <w:sz w:val="21"/>
          <w:szCs w:val="21"/>
          <w:highlight w:val="none"/>
        </w:rPr>
      </w:pPr>
      <w:r>
        <w:rPr>
          <w:rFonts w:hint="eastAsia" w:hAnsi="宋体"/>
          <w:sz w:val="21"/>
          <w:szCs w:val="21"/>
          <w:highlight w:val="none"/>
        </w:rPr>
        <w:t>24.5出现下列情形之一的，将终止竞争性磋商采购活动，发布项目终止公告并说明原因，重新开展采购活动：</w:t>
      </w:r>
    </w:p>
    <w:p>
      <w:pPr>
        <w:numPr>
          <w:ilvl w:val="0"/>
          <w:numId w:val="17"/>
        </w:numPr>
        <w:spacing w:line="360" w:lineRule="auto"/>
        <w:rPr>
          <w:rFonts w:ascii="宋体" w:hAnsi="宋体"/>
          <w:sz w:val="21"/>
          <w:highlight w:val="none"/>
        </w:rPr>
      </w:pPr>
      <w:r>
        <w:rPr>
          <w:rFonts w:hint="eastAsia" w:ascii="宋体" w:hAnsi="宋体"/>
          <w:sz w:val="21"/>
          <w:highlight w:val="none"/>
        </w:rPr>
        <w:t>实质性响应磋商文件的响应供应商不满三家；</w:t>
      </w:r>
    </w:p>
    <w:p>
      <w:pPr>
        <w:numPr>
          <w:ilvl w:val="0"/>
          <w:numId w:val="17"/>
        </w:numPr>
        <w:spacing w:line="360" w:lineRule="auto"/>
        <w:rPr>
          <w:rFonts w:ascii="宋体" w:hAnsi="宋体"/>
          <w:sz w:val="21"/>
          <w:highlight w:val="none"/>
        </w:rPr>
      </w:pPr>
      <w:r>
        <w:rPr>
          <w:rFonts w:hint="eastAsia" w:ascii="宋体" w:hAnsi="宋体"/>
          <w:sz w:val="21"/>
          <w:highlight w:val="none"/>
        </w:rPr>
        <w:t>供应商与采购人、其他供应商或者采购代理机构恶意串通的；</w:t>
      </w:r>
    </w:p>
    <w:p>
      <w:pPr>
        <w:numPr>
          <w:ilvl w:val="0"/>
          <w:numId w:val="17"/>
        </w:numPr>
        <w:spacing w:line="360" w:lineRule="auto"/>
        <w:rPr>
          <w:rFonts w:ascii="宋体" w:hAnsi="宋体"/>
          <w:sz w:val="21"/>
          <w:highlight w:val="none"/>
        </w:rPr>
      </w:pPr>
      <w:r>
        <w:rPr>
          <w:rFonts w:hint="eastAsia" w:ascii="宋体" w:hAnsi="宋体"/>
          <w:sz w:val="21"/>
          <w:highlight w:val="none"/>
        </w:rPr>
        <w:t>其他法律、法规所规定的。</w:t>
      </w:r>
    </w:p>
    <w:p>
      <w:pPr>
        <w:numPr>
          <w:ilvl w:val="0"/>
          <w:numId w:val="7"/>
        </w:numPr>
        <w:adjustRightInd w:val="0"/>
        <w:snapToGrid w:val="0"/>
        <w:spacing w:line="360" w:lineRule="auto"/>
        <w:ind w:left="357" w:hanging="357"/>
        <w:rPr>
          <w:rFonts w:ascii="宋体" w:hAnsi="宋体"/>
          <w:sz w:val="21"/>
          <w:highlight w:val="none"/>
        </w:rPr>
      </w:pPr>
      <w:r>
        <w:rPr>
          <w:rFonts w:hint="eastAsia" w:ascii="宋体" w:hAnsi="宋体"/>
          <w:sz w:val="21"/>
          <w:highlight w:val="none"/>
        </w:rPr>
        <w:t>磋商响应文件的澄清</w:t>
      </w:r>
    </w:p>
    <w:p>
      <w:pPr>
        <w:pStyle w:val="24"/>
        <w:overflowPunct w:val="0"/>
        <w:autoSpaceDN w:val="0"/>
        <w:adjustRightInd w:val="0"/>
        <w:snapToGrid w:val="0"/>
        <w:spacing w:line="360" w:lineRule="auto"/>
        <w:ind w:left="416" w:hanging="416"/>
        <w:rPr>
          <w:rFonts w:hAnsi="宋体"/>
          <w:sz w:val="21"/>
          <w:szCs w:val="21"/>
          <w:highlight w:val="none"/>
        </w:rPr>
      </w:pPr>
      <w:r>
        <w:rPr>
          <w:rFonts w:hint="eastAsia" w:hAnsi="宋体"/>
          <w:sz w:val="21"/>
          <w:szCs w:val="21"/>
          <w:highlight w:val="none"/>
        </w:rPr>
        <w:t>25.1为了有助于对磋商响应文件进行审查、评估和比较，磋商小组有权向响应供应商质疑，请响应供应商澄清其磋商内容。响应供应商有责任按照磋商小组通知的时间、地点派专人进行答疑和澄清。</w:t>
      </w:r>
    </w:p>
    <w:p>
      <w:pPr>
        <w:pStyle w:val="24"/>
        <w:overflowPunct w:val="0"/>
        <w:autoSpaceDN w:val="0"/>
        <w:adjustRightInd w:val="0"/>
        <w:snapToGrid w:val="0"/>
        <w:spacing w:line="360" w:lineRule="auto"/>
        <w:ind w:left="416" w:hanging="416"/>
        <w:rPr>
          <w:rFonts w:hAnsi="宋体"/>
          <w:sz w:val="21"/>
          <w:szCs w:val="21"/>
          <w:highlight w:val="none"/>
        </w:rPr>
      </w:pPr>
      <w:r>
        <w:rPr>
          <w:rFonts w:hint="eastAsia" w:hAnsi="宋体"/>
          <w:sz w:val="21"/>
          <w:szCs w:val="21"/>
          <w:highlight w:val="none"/>
        </w:rPr>
        <w:t>25.2</w:t>
      </w:r>
      <w:r>
        <w:rPr>
          <w:rFonts w:hint="eastAsia" w:hAnsi="宋体" w:cs="宋体"/>
          <w:snapToGrid w:val="0"/>
          <w:sz w:val="21"/>
          <w:szCs w:val="21"/>
          <w:highlight w:val="none"/>
        </w:rPr>
        <w:t>磋商小组可以书面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24"/>
        <w:overflowPunct w:val="0"/>
        <w:autoSpaceDN w:val="0"/>
        <w:adjustRightInd w:val="0"/>
        <w:snapToGrid w:val="0"/>
        <w:spacing w:line="360" w:lineRule="auto"/>
        <w:ind w:left="416" w:hanging="416"/>
        <w:rPr>
          <w:rFonts w:hAnsi="宋体"/>
          <w:sz w:val="21"/>
          <w:szCs w:val="21"/>
          <w:highlight w:val="none"/>
        </w:rPr>
      </w:pPr>
      <w:r>
        <w:rPr>
          <w:rFonts w:hint="eastAsia" w:hAnsi="宋体"/>
          <w:sz w:val="21"/>
          <w:szCs w:val="21"/>
          <w:highlight w:val="none"/>
        </w:rPr>
        <w:t>25.3供应商的澄清、说明或者更正应当由法定代表人或其授权代表签字或者加盖供应商公章书面送达。由授权代表签字的，应当附法定代表人授权书。供应商为自然人的，应当由本人签字并附身份证明。</w:t>
      </w:r>
    </w:p>
    <w:p>
      <w:pPr>
        <w:numPr>
          <w:ilvl w:val="0"/>
          <w:numId w:val="7"/>
        </w:numPr>
        <w:adjustRightInd w:val="0"/>
        <w:snapToGrid w:val="0"/>
        <w:spacing w:line="360" w:lineRule="auto"/>
        <w:ind w:left="357" w:hanging="357"/>
        <w:rPr>
          <w:rFonts w:ascii="宋体" w:hAnsi="宋体"/>
          <w:sz w:val="21"/>
          <w:highlight w:val="none"/>
        </w:rPr>
      </w:pPr>
      <w:r>
        <w:rPr>
          <w:rFonts w:hint="eastAsia" w:ascii="宋体" w:hAnsi="宋体"/>
          <w:sz w:val="21"/>
          <w:highlight w:val="none"/>
        </w:rPr>
        <w:t>对磋商响应文件的评估和比较及磋商程序</w:t>
      </w:r>
    </w:p>
    <w:p>
      <w:pPr>
        <w:tabs>
          <w:tab w:val="left" w:pos="540"/>
        </w:tabs>
        <w:overflowPunct w:val="0"/>
        <w:autoSpaceDN w:val="0"/>
        <w:adjustRightInd w:val="0"/>
        <w:snapToGrid w:val="0"/>
        <w:spacing w:line="360" w:lineRule="auto"/>
        <w:rPr>
          <w:rFonts w:ascii="宋体" w:hAnsi="宋体"/>
          <w:kern w:val="0"/>
          <w:sz w:val="21"/>
          <w:highlight w:val="none"/>
        </w:rPr>
      </w:pPr>
      <w:r>
        <w:rPr>
          <w:rFonts w:hint="eastAsia" w:ascii="宋体" w:hAnsi="宋体"/>
          <w:kern w:val="0"/>
          <w:sz w:val="21"/>
          <w:highlight w:val="none"/>
        </w:rPr>
        <w:t>26.1</w:t>
      </w:r>
      <w:r>
        <w:rPr>
          <w:rFonts w:hint="eastAsia" w:ascii="宋体" w:hAnsi="宋体"/>
          <w:kern w:val="0"/>
          <w:sz w:val="21"/>
          <w:highlight w:val="none"/>
        </w:rPr>
        <w:tab/>
      </w:r>
      <w:r>
        <w:rPr>
          <w:rFonts w:hint="eastAsia" w:ascii="宋体" w:hAnsi="宋体"/>
          <w:kern w:val="0"/>
          <w:sz w:val="21"/>
          <w:highlight w:val="none"/>
        </w:rPr>
        <w:t>磋商小组将对实质性响应的磋商响应文件进行评估和比较。</w:t>
      </w:r>
    </w:p>
    <w:p>
      <w:pPr>
        <w:pStyle w:val="24"/>
        <w:overflowPunct w:val="0"/>
        <w:autoSpaceDN w:val="0"/>
        <w:adjustRightInd w:val="0"/>
        <w:snapToGrid w:val="0"/>
        <w:spacing w:line="360" w:lineRule="auto"/>
        <w:ind w:left="416" w:hanging="416"/>
        <w:rPr>
          <w:rFonts w:hAnsi="宋体"/>
          <w:sz w:val="21"/>
          <w:szCs w:val="21"/>
          <w:highlight w:val="none"/>
        </w:rPr>
      </w:pPr>
      <w:r>
        <w:rPr>
          <w:rFonts w:hint="eastAsia" w:hAnsi="宋体"/>
          <w:sz w:val="21"/>
          <w:szCs w:val="21"/>
          <w:highlight w:val="none"/>
        </w:rPr>
        <w:t>26.2磋商小组所有成员将集中与单一供应商分别进行磋商，并给予所有参加磋商的供应商平等的磋商机会。</w:t>
      </w:r>
    </w:p>
    <w:p>
      <w:pPr>
        <w:pStyle w:val="24"/>
        <w:overflowPunct w:val="0"/>
        <w:autoSpaceDN w:val="0"/>
        <w:adjustRightInd w:val="0"/>
        <w:snapToGrid w:val="0"/>
        <w:spacing w:line="360" w:lineRule="auto"/>
        <w:ind w:left="416" w:hanging="416"/>
        <w:rPr>
          <w:rFonts w:hAnsi="宋体"/>
          <w:sz w:val="21"/>
          <w:szCs w:val="21"/>
          <w:highlight w:val="none"/>
        </w:rPr>
      </w:pPr>
      <w:r>
        <w:rPr>
          <w:rFonts w:hint="eastAsia" w:hAnsi="宋体"/>
          <w:sz w:val="21"/>
          <w:szCs w:val="21"/>
          <w:highlight w:val="none"/>
        </w:rPr>
        <w:t>26.3磋商文件能够详细列明采购标的的技术、服务要求的，磋商结束后，磋商小组将要求所有实质性响应的供应商在规定时间内提交最后报价。</w:t>
      </w:r>
    </w:p>
    <w:p>
      <w:pPr>
        <w:pStyle w:val="24"/>
        <w:overflowPunct w:val="0"/>
        <w:autoSpaceDN w:val="0"/>
        <w:adjustRightInd w:val="0"/>
        <w:snapToGrid w:val="0"/>
        <w:spacing w:line="360" w:lineRule="auto"/>
        <w:ind w:left="416" w:hanging="416"/>
        <w:rPr>
          <w:rFonts w:hAnsi="宋体"/>
          <w:sz w:val="21"/>
          <w:szCs w:val="21"/>
          <w:highlight w:val="none"/>
        </w:rPr>
      </w:pPr>
      <w:r>
        <w:rPr>
          <w:rFonts w:hint="eastAsia" w:hAnsi="宋体"/>
          <w:sz w:val="21"/>
          <w:szCs w:val="21"/>
          <w:highlight w:val="none"/>
        </w:rPr>
        <w:t>26.4</w:t>
      </w:r>
      <w:r>
        <w:rPr>
          <w:rFonts w:hint="eastAsia" w:hAnsi="宋体" w:cs="宋体"/>
          <w:snapToGrid w:val="0"/>
          <w:sz w:val="21"/>
          <w:szCs w:val="21"/>
          <w:highlight w:val="none"/>
        </w:rPr>
        <w:t>在磋商过程中，经采购人确认后，磋商小组有权根据磋商文件和磋商情况实质性变动采购需求中的技术、服务要求以及合同草案条款。对磋商文件做出的实质性变动是磋商文件的有效组成部分，磋商小组将及时以书面形式同时通知所有参加磋商的供应商。供应商应当按照磋商文件的变动情况和磋商小组的要求重新提交响应文件，并由其法定代表人或授权代表签字或者加盖供应商公章。由授权代表签字的，应当附法定代表人授权书。供应商为自然人的，应当由本人签字并附身份证明。</w:t>
      </w:r>
    </w:p>
    <w:p>
      <w:pPr>
        <w:pStyle w:val="24"/>
        <w:overflowPunct w:val="0"/>
        <w:autoSpaceDN w:val="0"/>
        <w:adjustRightInd w:val="0"/>
        <w:snapToGrid w:val="0"/>
        <w:spacing w:line="360" w:lineRule="auto"/>
        <w:ind w:left="416" w:hanging="416"/>
        <w:rPr>
          <w:rFonts w:hAnsi="宋体"/>
          <w:sz w:val="21"/>
          <w:szCs w:val="21"/>
          <w:highlight w:val="none"/>
        </w:rPr>
      </w:pPr>
      <w:r>
        <w:rPr>
          <w:rFonts w:hint="eastAsia" w:hAnsi="宋体"/>
          <w:sz w:val="21"/>
          <w:szCs w:val="21"/>
          <w:highlight w:val="none"/>
        </w:rPr>
        <w:t>26.5已提交响应文件的供应商，在提交最后报价之前，可以根据磋商情况退出磋商。</w:t>
      </w:r>
    </w:p>
    <w:p>
      <w:pPr>
        <w:numPr>
          <w:ilvl w:val="0"/>
          <w:numId w:val="7"/>
        </w:numPr>
        <w:adjustRightInd w:val="0"/>
        <w:snapToGrid w:val="0"/>
        <w:spacing w:line="360" w:lineRule="auto"/>
        <w:ind w:left="357" w:hanging="357"/>
        <w:rPr>
          <w:rFonts w:ascii="宋体" w:hAnsi="宋体"/>
          <w:sz w:val="21"/>
          <w:highlight w:val="none"/>
        </w:rPr>
      </w:pPr>
      <w:r>
        <w:rPr>
          <w:rFonts w:hint="eastAsia" w:ascii="宋体" w:hAnsi="宋体"/>
          <w:sz w:val="21"/>
          <w:highlight w:val="none"/>
        </w:rPr>
        <w:t>评审程序</w:t>
      </w:r>
    </w:p>
    <w:p>
      <w:pPr>
        <w:pStyle w:val="24"/>
        <w:overflowPunct w:val="0"/>
        <w:autoSpaceDN w:val="0"/>
        <w:adjustRightInd w:val="0"/>
        <w:snapToGrid w:val="0"/>
        <w:spacing w:line="360" w:lineRule="auto"/>
        <w:ind w:left="416" w:hanging="416"/>
        <w:rPr>
          <w:rFonts w:hAnsi="宋体"/>
          <w:bCs/>
          <w:snapToGrid w:val="0"/>
          <w:sz w:val="21"/>
          <w:szCs w:val="21"/>
          <w:highlight w:val="none"/>
        </w:rPr>
      </w:pPr>
      <w:r>
        <w:rPr>
          <w:rFonts w:hint="eastAsia" w:hAnsi="宋体"/>
          <w:snapToGrid w:val="0"/>
          <w:sz w:val="21"/>
          <w:szCs w:val="21"/>
          <w:highlight w:val="none"/>
        </w:rPr>
        <w:t>27.1经磋商确定</w:t>
      </w:r>
      <w:r>
        <w:rPr>
          <w:rFonts w:hint="eastAsia" w:hAnsi="宋体"/>
          <w:bCs/>
          <w:snapToGrid w:val="0"/>
          <w:sz w:val="21"/>
          <w:szCs w:val="21"/>
          <w:highlight w:val="none"/>
        </w:rPr>
        <w:t>最终采购需求和提交最后报价的供应商后，由磋商小组采用综合评分法对提交最后报价的供应商的响应文件和最后报价进行综合评分。</w:t>
      </w:r>
    </w:p>
    <w:p>
      <w:pPr>
        <w:pStyle w:val="24"/>
        <w:overflowPunct w:val="0"/>
        <w:autoSpaceDN w:val="0"/>
        <w:adjustRightInd w:val="0"/>
        <w:snapToGrid w:val="0"/>
        <w:spacing w:line="360" w:lineRule="auto"/>
        <w:ind w:left="416" w:hanging="416"/>
        <w:rPr>
          <w:rFonts w:hAnsi="宋体"/>
          <w:snapToGrid w:val="0"/>
          <w:sz w:val="21"/>
          <w:szCs w:val="21"/>
          <w:highlight w:val="none"/>
        </w:rPr>
      </w:pPr>
      <w:r>
        <w:rPr>
          <w:rFonts w:hint="eastAsia" w:hAnsi="宋体"/>
          <w:snapToGrid w:val="0"/>
          <w:sz w:val="21"/>
          <w:szCs w:val="21"/>
          <w:highlight w:val="none"/>
        </w:rPr>
        <w:t>27.2磋商小组将按磋商文件中规定的评审方法和标准（见“评审办法”），对资格性检查和符合性检查合格的磋商文件进行商务和技术评估，综合比较与评价。</w:t>
      </w:r>
    </w:p>
    <w:p>
      <w:pPr>
        <w:pStyle w:val="24"/>
        <w:overflowPunct w:val="0"/>
        <w:autoSpaceDN w:val="0"/>
        <w:adjustRightInd w:val="0"/>
        <w:snapToGrid w:val="0"/>
        <w:spacing w:line="360" w:lineRule="auto"/>
        <w:ind w:left="416" w:hanging="416"/>
        <w:rPr>
          <w:rFonts w:hAnsi="宋体"/>
          <w:snapToGrid w:val="0"/>
          <w:sz w:val="21"/>
          <w:szCs w:val="21"/>
          <w:highlight w:val="none"/>
        </w:rPr>
      </w:pPr>
      <w:r>
        <w:rPr>
          <w:rFonts w:hint="eastAsia" w:hAnsi="宋体"/>
          <w:snapToGrid w:val="0"/>
          <w:sz w:val="21"/>
          <w:szCs w:val="21"/>
          <w:highlight w:val="none"/>
        </w:rPr>
        <w:t>27.3评审时除考虑报价和技术服务以外，还将考虑以下因素：</w:t>
      </w:r>
    </w:p>
    <w:p>
      <w:pPr>
        <w:pStyle w:val="24"/>
        <w:numPr>
          <w:ilvl w:val="0"/>
          <w:numId w:val="18"/>
        </w:numPr>
        <w:overflowPunct w:val="0"/>
        <w:autoSpaceDN w:val="0"/>
        <w:adjustRightInd w:val="0"/>
        <w:snapToGrid w:val="0"/>
        <w:spacing w:line="360" w:lineRule="auto"/>
        <w:ind w:left="851" w:hanging="425"/>
        <w:rPr>
          <w:rFonts w:hAnsi="宋体"/>
          <w:snapToGrid w:val="0"/>
          <w:sz w:val="21"/>
          <w:szCs w:val="21"/>
          <w:highlight w:val="none"/>
        </w:rPr>
      </w:pPr>
      <w:r>
        <w:rPr>
          <w:rFonts w:hint="eastAsia" w:hAnsi="宋体"/>
          <w:snapToGrid w:val="0"/>
          <w:sz w:val="21"/>
          <w:szCs w:val="21"/>
          <w:highlight w:val="none"/>
        </w:rPr>
        <w:t>响应文件中所报价格组成及付款方式；</w:t>
      </w:r>
    </w:p>
    <w:p>
      <w:pPr>
        <w:pStyle w:val="24"/>
        <w:numPr>
          <w:ilvl w:val="0"/>
          <w:numId w:val="18"/>
        </w:numPr>
        <w:overflowPunct w:val="0"/>
        <w:autoSpaceDN w:val="0"/>
        <w:adjustRightInd w:val="0"/>
        <w:snapToGrid w:val="0"/>
        <w:spacing w:line="360" w:lineRule="auto"/>
        <w:ind w:left="851" w:hanging="425"/>
        <w:rPr>
          <w:rFonts w:hAnsi="宋体"/>
          <w:snapToGrid w:val="0"/>
          <w:sz w:val="21"/>
          <w:szCs w:val="21"/>
          <w:highlight w:val="none"/>
        </w:rPr>
      </w:pPr>
      <w:r>
        <w:rPr>
          <w:rFonts w:hint="eastAsia" w:hAnsi="宋体"/>
          <w:snapToGrid w:val="0"/>
          <w:sz w:val="21"/>
          <w:szCs w:val="21"/>
          <w:highlight w:val="none"/>
        </w:rPr>
        <w:t>提供服务的管理、财务能力及商业信誉；</w:t>
      </w:r>
    </w:p>
    <w:p>
      <w:pPr>
        <w:pStyle w:val="24"/>
        <w:numPr>
          <w:ilvl w:val="0"/>
          <w:numId w:val="18"/>
        </w:numPr>
        <w:overflowPunct w:val="0"/>
        <w:autoSpaceDN w:val="0"/>
        <w:adjustRightInd w:val="0"/>
        <w:snapToGrid w:val="0"/>
        <w:spacing w:line="360" w:lineRule="auto"/>
        <w:ind w:left="851" w:hanging="425"/>
        <w:rPr>
          <w:rFonts w:hAnsi="宋体"/>
          <w:snapToGrid w:val="0"/>
          <w:sz w:val="21"/>
          <w:szCs w:val="21"/>
          <w:highlight w:val="none"/>
        </w:rPr>
      </w:pPr>
      <w:r>
        <w:rPr>
          <w:rFonts w:hint="eastAsia" w:hAnsi="宋体"/>
          <w:snapToGrid w:val="0"/>
          <w:sz w:val="21"/>
          <w:szCs w:val="21"/>
          <w:highlight w:val="none"/>
        </w:rPr>
        <w:t>其他特殊要求因素。</w:t>
      </w:r>
    </w:p>
    <w:p>
      <w:pPr>
        <w:numPr>
          <w:ilvl w:val="0"/>
          <w:numId w:val="7"/>
        </w:numPr>
        <w:adjustRightInd w:val="0"/>
        <w:snapToGrid w:val="0"/>
        <w:spacing w:line="360" w:lineRule="auto"/>
        <w:ind w:left="357" w:hanging="357"/>
        <w:rPr>
          <w:rFonts w:ascii="宋体" w:hAnsi="宋体"/>
          <w:sz w:val="21"/>
          <w:highlight w:val="none"/>
        </w:rPr>
      </w:pPr>
      <w:r>
        <w:rPr>
          <w:rFonts w:hint="eastAsia" w:ascii="宋体" w:hAnsi="宋体"/>
          <w:sz w:val="21"/>
          <w:highlight w:val="none"/>
        </w:rPr>
        <w:t>评审原则及方法</w:t>
      </w:r>
    </w:p>
    <w:p>
      <w:pPr>
        <w:spacing w:line="360" w:lineRule="auto"/>
        <w:rPr>
          <w:rFonts w:ascii="宋体" w:hAnsi="宋体"/>
          <w:sz w:val="21"/>
          <w:highlight w:val="none"/>
        </w:rPr>
      </w:pPr>
      <w:r>
        <w:rPr>
          <w:rFonts w:hint="eastAsia" w:ascii="宋体" w:hAnsi="宋体"/>
          <w:sz w:val="21"/>
          <w:highlight w:val="none"/>
        </w:rPr>
        <w:t>28.1对所有响应供应商的响应磋商评估，都采用相同的程序和标准。</w:t>
      </w:r>
    </w:p>
    <w:p>
      <w:pPr>
        <w:spacing w:line="360" w:lineRule="auto"/>
        <w:rPr>
          <w:rFonts w:ascii="宋体" w:hAnsi="宋体"/>
          <w:sz w:val="21"/>
          <w:highlight w:val="none"/>
        </w:rPr>
      </w:pPr>
      <w:r>
        <w:rPr>
          <w:rFonts w:hint="eastAsia" w:ascii="宋体" w:hAnsi="宋体"/>
          <w:sz w:val="21"/>
          <w:highlight w:val="none"/>
        </w:rPr>
        <w:t>28.2评审严格按照磋商文件的要求和条件进行。</w:t>
      </w:r>
    </w:p>
    <w:p>
      <w:pPr>
        <w:spacing w:line="360" w:lineRule="auto"/>
        <w:ind w:left="416" w:hanging="416"/>
        <w:rPr>
          <w:rFonts w:ascii="宋体" w:hAnsi="宋体"/>
          <w:sz w:val="21"/>
          <w:highlight w:val="none"/>
        </w:rPr>
      </w:pPr>
      <w:r>
        <w:rPr>
          <w:rFonts w:hint="eastAsia" w:ascii="宋体" w:hAnsi="宋体"/>
          <w:sz w:val="21"/>
          <w:highlight w:val="none"/>
        </w:rPr>
        <w:t>28.3在评审时进行综合分析、比较，采用综合评分，按评审后得分由高到低顺序排列，推选成交候选供应商。得分相同的，按最终报价由低到高顺序排列。得分且最终报价相同的，按技术指标优劣顺序排列。</w:t>
      </w:r>
    </w:p>
    <w:p>
      <w:pPr>
        <w:spacing w:line="360" w:lineRule="auto"/>
        <w:jc w:val="center"/>
        <w:outlineLvl w:val="1"/>
        <w:rPr>
          <w:rFonts w:ascii="宋体" w:hAnsi="宋体"/>
          <w:b/>
          <w:bCs/>
          <w:sz w:val="21"/>
          <w:highlight w:val="none"/>
        </w:rPr>
      </w:pPr>
      <w:bookmarkStart w:id="50" w:name="_Toc374364341"/>
      <w:bookmarkStart w:id="51" w:name="_Toc374000587"/>
      <w:bookmarkStart w:id="52" w:name="_Toc6371"/>
      <w:bookmarkStart w:id="53" w:name="_Toc416159605"/>
      <w:bookmarkStart w:id="54" w:name="_Toc374001435"/>
      <w:bookmarkStart w:id="55" w:name="_Toc484004350"/>
      <w:r>
        <w:rPr>
          <w:rFonts w:hint="eastAsia" w:ascii="宋体" w:hAnsi="宋体"/>
          <w:b/>
          <w:bCs/>
          <w:sz w:val="21"/>
          <w:highlight w:val="none"/>
        </w:rPr>
        <w:t>磋商评审办法</w:t>
      </w:r>
      <w:bookmarkEnd w:id="50"/>
      <w:bookmarkEnd w:id="51"/>
      <w:bookmarkEnd w:id="52"/>
      <w:bookmarkEnd w:id="53"/>
      <w:bookmarkEnd w:id="54"/>
      <w:bookmarkEnd w:id="55"/>
    </w:p>
    <w:p>
      <w:pPr>
        <w:keepNext w:val="0"/>
        <w:keepLines w:val="0"/>
        <w:pageBreakBefore w:val="0"/>
        <w:wordWrap w:val="0"/>
        <w:bidi w:val="0"/>
        <w:spacing w:line="360" w:lineRule="auto"/>
        <w:ind w:firstLine="420"/>
        <w:rPr>
          <w:rFonts w:hint="eastAsia" w:ascii="宋体" w:hAnsi="宋体" w:eastAsia="宋体" w:cs="宋体"/>
          <w:sz w:val="21"/>
        </w:rPr>
      </w:pPr>
      <w:r>
        <w:rPr>
          <w:rFonts w:hint="eastAsia" w:ascii="宋体" w:hAnsi="宋体" w:eastAsia="宋体" w:cs="宋体"/>
          <w:sz w:val="21"/>
        </w:rPr>
        <w:t>本次评标采用综合评分法。磋商小组由3人组成，3人评委经磋商确定最终采购需求和提交最后报价的供应商后，由磋商小组采用综合评分法对提交最后报价的供应商的响应文件和最后报价进行综合评分。综合得分最高者为第一名，依次类推确定得分排名顺序。磋商小组根据综合评分情况，按照评审得分由高到低顺序推荐3名成交候选供应商，并编写评审报告。如果供应商最终得分相同，则按报价由低到高确定排名顺序，如果报价仍相同，则由磋商小组按照少数服从多数原则投票表决。若出现排名第一的成交候选人放弃成交或不能按磋商文件规定签订合同等原因取消成交资格，则按推荐后续供应商顺序依次确定排名第二的成交候选人为成交供应商，或按采购人要求重新组织采购确定。</w:t>
      </w:r>
    </w:p>
    <w:p>
      <w:pPr>
        <w:keepNext w:val="0"/>
        <w:keepLines w:val="0"/>
        <w:pageBreakBefore w:val="0"/>
        <w:wordWrap w:val="0"/>
        <w:bidi w:val="0"/>
        <w:spacing w:line="360" w:lineRule="auto"/>
        <w:ind w:firstLine="420"/>
        <w:rPr>
          <w:rFonts w:hint="eastAsia" w:ascii="宋体" w:hAnsi="宋体" w:eastAsia="宋体" w:cs="宋体"/>
          <w:sz w:val="21"/>
        </w:rPr>
      </w:pPr>
      <w:r>
        <w:rPr>
          <w:rFonts w:hint="eastAsia" w:ascii="宋体" w:hAnsi="宋体" w:eastAsia="宋体" w:cs="宋体"/>
          <w:sz w:val="21"/>
        </w:rPr>
        <w:t>若本项目非专门面向中小企业采购，则对小型和微型企业响应供应商的报价价格给予10%的扣除，用扣除后的价格参与评审。中小企业响应磋商应提供《中小企业声明函》；监狱企业视同小型、微型企业；残疾人福利性单位属于小型、微型企业的，不重复享受政策。</w:t>
      </w:r>
    </w:p>
    <w:p>
      <w:pPr>
        <w:keepNext w:val="0"/>
        <w:keepLines w:val="0"/>
        <w:pageBreakBefore w:val="0"/>
        <w:wordWrap w:val="0"/>
        <w:bidi w:val="0"/>
        <w:spacing w:line="360" w:lineRule="auto"/>
        <w:ind w:firstLine="420"/>
        <w:rPr>
          <w:rFonts w:hint="eastAsia" w:ascii="宋体" w:hAnsi="宋体" w:eastAsia="宋体" w:cs="宋体"/>
          <w:sz w:val="21"/>
        </w:rPr>
      </w:pPr>
      <w:r>
        <w:rPr>
          <w:rFonts w:hint="eastAsia" w:ascii="宋体" w:hAnsi="宋体" w:eastAsia="宋体" w:cs="宋体"/>
          <w:sz w:val="21"/>
        </w:rPr>
        <w:t>磋商小组认为响应供应商的报价明显低于其他通过符合性审查响应供应商的报价，有可能影响产品质量或者不能诚信履约的，应当要求其在磋商现场合理的时间内提供书面说明，必要时提交相关证明材料；响应供应商不能证明其报价合理性的，磋商小组应当将其作为无效响应处理。</w:t>
      </w:r>
    </w:p>
    <w:p>
      <w:pPr>
        <w:pStyle w:val="19"/>
        <w:numPr>
          <w:ilvl w:val="0"/>
          <w:numId w:val="0"/>
        </w:numPr>
        <w:tabs>
          <w:tab w:val="left" w:pos="420"/>
        </w:tabs>
        <w:spacing w:before="163" w:beforeLines="50" w:after="163" w:afterLines="50" w:line="360" w:lineRule="auto"/>
        <w:ind w:leftChars="0"/>
        <w:rPr>
          <w:rFonts w:ascii="宋体" w:hAnsi="宋体"/>
          <w:b/>
          <w:sz w:val="21"/>
          <w:highlight w:val="none"/>
        </w:rPr>
      </w:pPr>
    </w:p>
    <w:p>
      <w:pPr>
        <w:pStyle w:val="19"/>
        <w:numPr>
          <w:ilvl w:val="0"/>
          <w:numId w:val="19"/>
        </w:numPr>
        <w:tabs>
          <w:tab w:val="left" w:pos="420"/>
        </w:tabs>
        <w:spacing w:before="163" w:beforeLines="50" w:after="163" w:afterLines="50" w:line="360" w:lineRule="auto"/>
        <w:ind w:leftChars="0" w:firstLine="0"/>
        <w:rPr>
          <w:rFonts w:ascii="宋体" w:hAnsi="宋体"/>
          <w:b/>
          <w:sz w:val="21"/>
          <w:highlight w:val="none"/>
        </w:rPr>
      </w:pPr>
      <w:r>
        <w:rPr>
          <w:rFonts w:hint="eastAsia" w:ascii="宋体" w:hAnsi="宋体"/>
          <w:b/>
          <w:sz w:val="21"/>
          <w:highlight w:val="none"/>
        </w:rPr>
        <w:t>评分标准（1</w:t>
      </w:r>
      <w:r>
        <w:rPr>
          <w:rFonts w:hint="default" w:ascii="宋体" w:hAnsi="宋体"/>
          <w:b/>
          <w:sz w:val="21"/>
          <w:highlight w:val="none"/>
          <w:lang w:val="en-US"/>
        </w:rPr>
        <w:t>0</w:t>
      </w:r>
      <w:r>
        <w:rPr>
          <w:rFonts w:hint="eastAsia" w:ascii="宋体" w:hAnsi="宋体"/>
          <w:b/>
          <w:sz w:val="21"/>
          <w:highlight w:val="none"/>
        </w:rPr>
        <w:t>0分）</w:t>
      </w:r>
    </w:p>
    <w:tbl>
      <w:tblPr>
        <w:tblStyle w:val="4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085"/>
        <w:gridCol w:w="1518"/>
        <w:gridCol w:w="675"/>
        <w:gridCol w:w="870"/>
        <w:gridCol w:w="3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wordWrap w:val="0"/>
              <w:jc w:val="center"/>
              <w:rPr>
                <w:rFonts w:hint="eastAsia" w:ascii="宋体" w:hAnsi="宋体" w:eastAsia="宋体" w:cs="宋体"/>
                <w:b/>
                <w:bCs w:val="0"/>
                <w:sz w:val="21"/>
                <w:szCs w:val="21"/>
              </w:rPr>
            </w:pPr>
            <w:r>
              <w:rPr>
                <w:rFonts w:hint="eastAsia" w:ascii="宋体" w:hAnsi="宋体" w:eastAsia="宋体" w:cs="宋体"/>
                <w:b/>
                <w:bCs w:val="0"/>
                <w:sz w:val="21"/>
                <w:szCs w:val="21"/>
              </w:rPr>
              <w:t>序号</w:t>
            </w:r>
          </w:p>
        </w:tc>
        <w:tc>
          <w:tcPr>
            <w:tcW w:w="636" w:type="pct"/>
            <w:tcBorders>
              <w:top w:val="single" w:color="auto" w:sz="4" w:space="0"/>
              <w:left w:val="single" w:color="auto" w:sz="4" w:space="0"/>
              <w:bottom w:val="single" w:color="auto" w:sz="4" w:space="0"/>
              <w:right w:val="single" w:color="auto" w:sz="4" w:space="0"/>
            </w:tcBorders>
            <w:noWrap w:val="0"/>
            <w:vAlign w:val="center"/>
          </w:tcPr>
          <w:p>
            <w:pPr>
              <w:wordWrap w:val="0"/>
              <w:jc w:val="center"/>
              <w:rPr>
                <w:rFonts w:hint="eastAsia" w:ascii="宋体" w:hAnsi="宋体" w:eastAsia="宋体" w:cs="宋体"/>
                <w:b/>
                <w:sz w:val="21"/>
                <w:szCs w:val="21"/>
              </w:rPr>
            </w:pPr>
            <w:r>
              <w:rPr>
                <w:rFonts w:hint="eastAsia" w:ascii="宋体" w:hAnsi="宋体" w:eastAsia="宋体" w:cs="宋体"/>
                <w:b/>
                <w:sz w:val="21"/>
                <w:szCs w:val="21"/>
              </w:rPr>
              <w:t>评审内容</w:t>
            </w:r>
          </w:p>
        </w:tc>
        <w:tc>
          <w:tcPr>
            <w:tcW w:w="890" w:type="pct"/>
            <w:tcBorders>
              <w:top w:val="single" w:color="auto" w:sz="4" w:space="0"/>
              <w:left w:val="single" w:color="auto" w:sz="4" w:space="0"/>
              <w:bottom w:val="single" w:color="auto" w:sz="4" w:space="0"/>
              <w:right w:val="single" w:color="auto" w:sz="4" w:space="0"/>
            </w:tcBorders>
            <w:noWrap w:val="0"/>
            <w:vAlign w:val="center"/>
          </w:tcPr>
          <w:p>
            <w:pPr>
              <w:wordWrap w:val="0"/>
              <w:jc w:val="center"/>
              <w:rPr>
                <w:rFonts w:hint="eastAsia" w:ascii="宋体" w:hAnsi="宋体" w:eastAsia="宋体" w:cs="宋体"/>
                <w:b/>
                <w:bCs w:val="0"/>
                <w:sz w:val="21"/>
                <w:szCs w:val="21"/>
              </w:rPr>
            </w:pPr>
            <w:r>
              <w:rPr>
                <w:rFonts w:hint="eastAsia" w:ascii="宋体" w:hAnsi="宋体" w:eastAsia="宋体" w:cs="宋体"/>
                <w:b/>
                <w:bCs w:val="0"/>
                <w:sz w:val="21"/>
                <w:szCs w:val="21"/>
              </w:rPr>
              <w:t>评审因素</w:t>
            </w:r>
          </w:p>
        </w:tc>
        <w:tc>
          <w:tcPr>
            <w:tcW w:w="396" w:type="pct"/>
            <w:tcBorders>
              <w:top w:val="single" w:color="auto" w:sz="4" w:space="0"/>
              <w:left w:val="single" w:color="auto" w:sz="4" w:space="0"/>
              <w:bottom w:val="single" w:color="auto" w:sz="4" w:space="0"/>
              <w:right w:val="single" w:color="auto" w:sz="4" w:space="0"/>
            </w:tcBorders>
            <w:noWrap w:val="0"/>
            <w:vAlign w:val="center"/>
          </w:tcPr>
          <w:p>
            <w:pPr>
              <w:wordWrap w:val="0"/>
              <w:jc w:val="center"/>
              <w:rPr>
                <w:rFonts w:hint="eastAsia" w:ascii="宋体" w:hAnsi="宋体" w:eastAsia="宋体" w:cs="宋体"/>
                <w:b/>
                <w:sz w:val="21"/>
                <w:szCs w:val="21"/>
              </w:rPr>
            </w:pPr>
            <w:r>
              <w:rPr>
                <w:rFonts w:hint="eastAsia" w:ascii="宋体" w:hAnsi="宋体" w:eastAsia="宋体" w:cs="宋体"/>
                <w:b/>
                <w:sz w:val="21"/>
                <w:szCs w:val="21"/>
              </w:rPr>
              <w:t>分值</w:t>
            </w:r>
          </w:p>
        </w:tc>
        <w:tc>
          <w:tcPr>
            <w:tcW w:w="510" w:type="pct"/>
            <w:tcBorders>
              <w:top w:val="single" w:color="auto" w:sz="4" w:space="0"/>
              <w:left w:val="single" w:color="auto" w:sz="4" w:space="0"/>
              <w:bottom w:val="single" w:color="auto" w:sz="4" w:space="0"/>
              <w:right w:val="single" w:color="auto" w:sz="4" w:space="0"/>
            </w:tcBorders>
            <w:noWrap w:val="0"/>
            <w:vAlign w:val="center"/>
          </w:tcPr>
          <w:p>
            <w:pPr>
              <w:wordWrap w:val="0"/>
              <w:jc w:val="center"/>
              <w:rPr>
                <w:rFonts w:hint="eastAsia" w:ascii="宋体" w:hAnsi="宋体" w:eastAsia="宋体" w:cs="宋体"/>
                <w:b/>
                <w:sz w:val="21"/>
                <w:szCs w:val="21"/>
              </w:rPr>
            </w:pPr>
            <w:r>
              <w:rPr>
                <w:rFonts w:hint="eastAsia" w:ascii="宋体" w:hAnsi="宋体" w:eastAsia="宋体" w:cs="宋体"/>
                <w:b/>
                <w:sz w:val="21"/>
                <w:szCs w:val="21"/>
              </w:rPr>
              <w:t>类型</w:t>
            </w:r>
          </w:p>
        </w:tc>
        <w:tc>
          <w:tcPr>
            <w:tcW w:w="2178" w:type="pct"/>
            <w:tcBorders>
              <w:top w:val="single" w:color="auto" w:sz="4" w:space="0"/>
              <w:left w:val="single" w:color="auto" w:sz="4" w:space="0"/>
              <w:bottom w:val="single" w:color="auto" w:sz="4" w:space="0"/>
              <w:right w:val="single" w:color="auto" w:sz="4" w:space="0"/>
            </w:tcBorders>
            <w:noWrap w:val="0"/>
            <w:vAlign w:val="center"/>
          </w:tcPr>
          <w:p>
            <w:pPr>
              <w:wordWrap w:val="0"/>
              <w:jc w:val="center"/>
              <w:rPr>
                <w:rFonts w:hint="eastAsia" w:ascii="宋体" w:hAnsi="宋体" w:eastAsia="宋体" w:cs="宋体"/>
                <w:b/>
                <w:sz w:val="21"/>
                <w:szCs w:val="21"/>
              </w:rPr>
            </w:pPr>
            <w:r>
              <w:rPr>
                <w:rFonts w:hint="eastAsia" w:ascii="宋体" w:hAnsi="宋体" w:eastAsia="宋体" w:cs="宋体"/>
                <w:b/>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pPr>
              <w:wordWrap w:val="0"/>
              <w:jc w:val="center"/>
              <w:rPr>
                <w:rFonts w:hint="eastAsia" w:ascii="宋体" w:hAnsi="宋体" w:eastAsia="宋体" w:cs="宋体"/>
                <w:b/>
                <w:bCs w:val="0"/>
                <w:sz w:val="21"/>
                <w:szCs w:val="21"/>
              </w:rPr>
            </w:pPr>
            <w:r>
              <w:rPr>
                <w:rFonts w:hint="eastAsia" w:ascii="宋体" w:hAnsi="宋体" w:eastAsia="宋体" w:cs="宋体"/>
                <w:b/>
                <w:bCs w:val="0"/>
                <w:sz w:val="21"/>
                <w:szCs w:val="21"/>
              </w:rPr>
              <w:t>1</w:t>
            </w:r>
          </w:p>
        </w:tc>
        <w:tc>
          <w:tcPr>
            <w:tcW w:w="636" w:type="pct"/>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eastAsia" w:ascii="宋体" w:hAnsi="宋体" w:eastAsia="宋体" w:cs="宋体"/>
                <w:b/>
                <w:sz w:val="21"/>
                <w:szCs w:val="21"/>
              </w:rPr>
            </w:pPr>
            <w:r>
              <w:rPr>
                <w:rFonts w:hint="eastAsia" w:ascii="宋体" w:hAnsi="宋体" w:eastAsia="宋体" w:cs="宋体"/>
                <w:b/>
                <w:sz w:val="21"/>
                <w:szCs w:val="21"/>
                <w:highlight w:val="none"/>
              </w:rPr>
              <w:t>报价分</w:t>
            </w:r>
          </w:p>
        </w:tc>
        <w:tc>
          <w:tcPr>
            <w:tcW w:w="890" w:type="pct"/>
            <w:tcBorders>
              <w:top w:val="single" w:color="auto" w:sz="4" w:space="0"/>
              <w:left w:val="single" w:color="auto" w:sz="4" w:space="0"/>
              <w:bottom w:val="single" w:color="auto" w:sz="4" w:space="0"/>
              <w:right w:val="single" w:color="auto" w:sz="4" w:space="0"/>
            </w:tcBorders>
            <w:noWrap w:val="0"/>
            <w:vAlign w:val="center"/>
          </w:tcPr>
          <w:p>
            <w:pPr>
              <w:wordWrap w:val="0"/>
              <w:jc w:val="center"/>
              <w:rPr>
                <w:rFonts w:hint="eastAsia" w:ascii="宋体" w:hAnsi="宋体" w:eastAsia="宋体" w:cs="宋体"/>
                <w:b/>
                <w:bCs w:val="0"/>
                <w:sz w:val="21"/>
                <w:szCs w:val="21"/>
              </w:rPr>
            </w:pPr>
            <w:r>
              <w:rPr>
                <w:rFonts w:hint="eastAsia" w:ascii="宋体" w:hAnsi="宋体" w:eastAsia="宋体" w:cs="宋体"/>
                <w:b/>
                <w:bCs w:val="0"/>
                <w:sz w:val="21"/>
                <w:szCs w:val="21"/>
                <w:highlight w:val="none"/>
              </w:rPr>
              <w:t>报价分</w:t>
            </w:r>
          </w:p>
        </w:tc>
        <w:tc>
          <w:tcPr>
            <w:tcW w:w="396" w:type="pct"/>
            <w:tcBorders>
              <w:top w:val="single" w:color="auto" w:sz="4" w:space="0"/>
              <w:left w:val="single" w:color="auto" w:sz="4" w:space="0"/>
              <w:bottom w:val="single" w:color="auto" w:sz="4" w:space="0"/>
              <w:right w:val="single" w:color="auto" w:sz="4" w:space="0"/>
            </w:tcBorders>
            <w:noWrap w:val="0"/>
            <w:vAlign w:val="center"/>
          </w:tcPr>
          <w:p>
            <w:pPr>
              <w:wordWrap w:val="0"/>
              <w:jc w:val="center"/>
              <w:rPr>
                <w:rFonts w:hint="eastAsia" w:ascii="宋体" w:hAnsi="宋体" w:eastAsia="宋体" w:cs="宋体"/>
                <w:b/>
                <w:sz w:val="21"/>
                <w:szCs w:val="21"/>
              </w:rPr>
            </w:pPr>
            <w:r>
              <w:rPr>
                <w:rFonts w:hint="eastAsia" w:ascii="宋体" w:hAnsi="宋体" w:eastAsia="宋体" w:cs="宋体"/>
                <w:b/>
                <w:sz w:val="21"/>
                <w:szCs w:val="21"/>
                <w:highlight w:val="none"/>
              </w:rPr>
              <w:t>0-1</w:t>
            </w:r>
            <w:r>
              <w:rPr>
                <w:rFonts w:hint="eastAsia" w:ascii="宋体" w:hAnsi="宋体" w:eastAsia="宋体" w:cs="宋体"/>
                <w:b/>
                <w:sz w:val="21"/>
                <w:szCs w:val="21"/>
                <w:highlight w:val="none"/>
                <w:lang w:val="en-US" w:eastAsia="zh-CN"/>
              </w:rPr>
              <w:t>0</w:t>
            </w:r>
          </w:p>
        </w:tc>
        <w:tc>
          <w:tcPr>
            <w:tcW w:w="510" w:type="pct"/>
            <w:tcBorders>
              <w:top w:val="single" w:color="auto" w:sz="4" w:space="0"/>
              <w:left w:val="single" w:color="auto" w:sz="4" w:space="0"/>
              <w:bottom w:val="single" w:color="auto" w:sz="4" w:space="0"/>
              <w:right w:val="single" w:color="auto" w:sz="4" w:space="0"/>
            </w:tcBorders>
            <w:noWrap w:val="0"/>
            <w:vAlign w:val="center"/>
          </w:tcPr>
          <w:p>
            <w:pPr>
              <w:wordWrap w:val="0"/>
              <w:jc w:val="center"/>
              <w:rPr>
                <w:rFonts w:hint="eastAsia" w:ascii="宋体" w:hAnsi="宋体" w:eastAsia="宋体" w:cs="宋体"/>
                <w:bCs/>
                <w:sz w:val="21"/>
                <w:szCs w:val="21"/>
              </w:rPr>
            </w:pPr>
            <w:r>
              <w:rPr>
                <w:rFonts w:hint="eastAsia" w:ascii="宋体" w:hAnsi="宋体" w:eastAsia="宋体" w:cs="宋体"/>
                <w:bCs/>
                <w:sz w:val="21"/>
                <w:szCs w:val="21"/>
                <w:highlight w:val="none"/>
              </w:rPr>
              <w:t>客观分</w:t>
            </w:r>
          </w:p>
        </w:tc>
        <w:tc>
          <w:tcPr>
            <w:tcW w:w="21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left"/>
              <w:textAlignment w:val="auto"/>
              <w:rPr>
                <w:rFonts w:hint="eastAsia" w:ascii="宋体" w:hAnsi="宋体" w:eastAsia="宋体" w:cs="宋体"/>
                <w:bCs/>
                <w:sz w:val="21"/>
                <w:szCs w:val="21"/>
              </w:rPr>
            </w:pPr>
            <w:r>
              <w:rPr>
                <w:rFonts w:hint="eastAsia" w:ascii="宋体" w:hAnsi="宋体" w:eastAsia="宋体" w:cs="宋体"/>
                <w:b w:val="0"/>
                <w:bCs/>
                <w:sz w:val="21"/>
                <w:szCs w:val="21"/>
                <w:highlight w:val="none"/>
              </w:rPr>
              <w:t>满足磋商文件要求且响应磋商价格最低的响应磋商报价为评标基准价，其价格分为满分。其他响应供应商响应磋商报价得分＝（评标基准价/响应磋商报价）×价格权值1</w:t>
            </w:r>
            <w:r>
              <w:rPr>
                <w:rFonts w:hint="eastAsia" w:ascii="宋体" w:hAnsi="宋体" w:eastAsia="宋体" w:cs="宋体"/>
                <w:b w:val="0"/>
                <w:bCs/>
                <w:sz w:val="21"/>
                <w:szCs w:val="21"/>
                <w:highlight w:val="none"/>
                <w:lang w:val="en-US" w:eastAsia="zh-CN"/>
              </w:rPr>
              <w:t>0</w:t>
            </w:r>
            <w:r>
              <w:rPr>
                <w:rFonts w:hint="eastAsia" w:ascii="宋体" w:hAnsi="宋体" w:eastAsia="宋体" w:cs="宋体"/>
                <w:b w:val="0"/>
                <w:bCs/>
                <w:sz w:val="21"/>
                <w:szCs w:val="21"/>
                <w:highlight w:val="none"/>
              </w:rPr>
              <w:t>%×100</w:t>
            </w:r>
            <w:r>
              <w:rPr>
                <w:rFonts w:hint="eastAsia" w:ascii="宋体" w:hAnsi="宋体" w:eastAsia="宋体" w:cs="宋体"/>
                <w:b w:val="0"/>
                <w:bCs/>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tcBorders>
              <w:top w:val="single" w:color="auto" w:sz="4" w:space="0"/>
              <w:left w:val="single" w:color="auto" w:sz="4" w:space="0"/>
              <w:right w:val="single" w:color="auto" w:sz="4" w:space="0"/>
            </w:tcBorders>
            <w:noWrap w:val="0"/>
            <w:vAlign w:val="center"/>
          </w:tcPr>
          <w:p>
            <w:pPr>
              <w:wordWrap w:val="0"/>
              <w:jc w:val="center"/>
              <w:rPr>
                <w:rFonts w:hint="eastAsia" w:ascii="宋体" w:hAnsi="宋体" w:eastAsia="宋体" w:cs="宋体"/>
                <w:b/>
                <w:bCs w:val="0"/>
                <w:sz w:val="21"/>
                <w:szCs w:val="21"/>
              </w:rPr>
            </w:pPr>
            <w:r>
              <w:rPr>
                <w:rFonts w:hint="eastAsia" w:ascii="宋体" w:hAnsi="宋体" w:eastAsia="宋体" w:cs="宋体"/>
                <w:b/>
                <w:bCs w:val="0"/>
                <w:sz w:val="21"/>
                <w:szCs w:val="21"/>
              </w:rPr>
              <w:t>2</w:t>
            </w:r>
          </w:p>
        </w:tc>
        <w:tc>
          <w:tcPr>
            <w:tcW w:w="636" w:type="pct"/>
            <w:tcBorders>
              <w:top w:val="single" w:color="auto" w:sz="4" w:space="0"/>
              <w:left w:val="single" w:color="auto" w:sz="4" w:space="0"/>
              <w:right w:val="single" w:color="auto" w:sz="4" w:space="0"/>
            </w:tcBorders>
            <w:noWrap w:val="0"/>
            <w:vAlign w:val="center"/>
          </w:tcPr>
          <w:p>
            <w:pPr>
              <w:contextualSpacing/>
              <w:jc w:val="center"/>
              <w:rPr>
                <w:rFonts w:hint="eastAsia" w:ascii="宋体" w:hAnsi="宋体" w:eastAsia="宋体" w:cs="宋体"/>
                <w:b/>
                <w:sz w:val="21"/>
                <w:szCs w:val="21"/>
              </w:rPr>
            </w:pPr>
            <w:r>
              <w:rPr>
                <w:rFonts w:hint="eastAsia" w:ascii="宋体" w:hAnsi="宋体" w:eastAsia="宋体" w:cs="宋体"/>
                <w:b/>
                <w:sz w:val="21"/>
                <w:szCs w:val="21"/>
                <w:highlight w:val="none"/>
              </w:rPr>
              <w:t>需求理解</w:t>
            </w:r>
          </w:p>
        </w:tc>
        <w:tc>
          <w:tcPr>
            <w:tcW w:w="890" w:type="pct"/>
            <w:tcBorders>
              <w:top w:val="single" w:color="auto" w:sz="4" w:space="0"/>
              <w:left w:val="single" w:color="auto" w:sz="4" w:space="0"/>
              <w:right w:val="single" w:color="auto" w:sz="4" w:space="0"/>
            </w:tcBorders>
            <w:noWrap w:val="0"/>
            <w:vAlign w:val="center"/>
          </w:tcPr>
          <w:p>
            <w:pPr>
              <w:wordWrap w:val="0"/>
              <w:jc w:val="center"/>
              <w:rPr>
                <w:rFonts w:hint="eastAsia" w:ascii="宋体" w:hAnsi="宋体" w:eastAsia="宋体" w:cs="宋体"/>
                <w:b/>
                <w:bCs w:val="0"/>
                <w:sz w:val="21"/>
                <w:szCs w:val="21"/>
              </w:rPr>
            </w:pPr>
            <w:r>
              <w:rPr>
                <w:rFonts w:hint="eastAsia" w:ascii="宋体" w:hAnsi="宋体" w:eastAsia="宋体" w:cs="宋体"/>
                <w:b/>
                <w:bCs w:val="0"/>
                <w:sz w:val="21"/>
                <w:szCs w:val="21"/>
                <w:highlight w:val="none"/>
              </w:rPr>
              <w:t>需求理解</w:t>
            </w:r>
          </w:p>
        </w:tc>
        <w:tc>
          <w:tcPr>
            <w:tcW w:w="396" w:type="pct"/>
            <w:tcBorders>
              <w:top w:val="single" w:color="auto" w:sz="4" w:space="0"/>
              <w:left w:val="single" w:color="auto" w:sz="4" w:space="0"/>
              <w:right w:val="single" w:color="auto" w:sz="4" w:space="0"/>
            </w:tcBorders>
            <w:noWrap w:val="0"/>
            <w:vAlign w:val="center"/>
          </w:tcPr>
          <w:p>
            <w:pPr>
              <w:wordWrap w:val="0"/>
              <w:jc w:val="center"/>
              <w:rPr>
                <w:rFonts w:hint="default" w:ascii="宋体" w:hAnsi="宋体" w:eastAsia="宋体" w:cs="宋体"/>
                <w:b/>
                <w:sz w:val="21"/>
                <w:szCs w:val="21"/>
                <w:lang w:val="en-US" w:eastAsia="zh-CN"/>
              </w:rPr>
            </w:pPr>
            <w:r>
              <w:rPr>
                <w:rFonts w:hint="eastAsia" w:ascii="宋体" w:hAnsi="宋体" w:cs="宋体"/>
                <w:b/>
                <w:sz w:val="21"/>
                <w:szCs w:val="21"/>
                <w:lang w:eastAsia="zh-CN"/>
              </w:rPr>
              <w:t>0-</w:t>
            </w:r>
            <w:r>
              <w:rPr>
                <w:rFonts w:hint="eastAsia" w:ascii="宋体" w:hAnsi="宋体" w:cs="宋体"/>
                <w:b/>
                <w:sz w:val="21"/>
                <w:szCs w:val="21"/>
                <w:lang w:val="en-US" w:eastAsia="zh-CN"/>
              </w:rPr>
              <w:t>10</w:t>
            </w:r>
          </w:p>
        </w:tc>
        <w:tc>
          <w:tcPr>
            <w:tcW w:w="510" w:type="pct"/>
            <w:tcBorders>
              <w:top w:val="single" w:color="auto" w:sz="4" w:space="0"/>
              <w:left w:val="single" w:color="auto" w:sz="4" w:space="0"/>
              <w:bottom w:val="single" w:color="auto" w:sz="4" w:space="0"/>
              <w:right w:val="single" w:color="auto" w:sz="4" w:space="0"/>
            </w:tcBorders>
            <w:noWrap w:val="0"/>
            <w:vAlign w:val="center"/>
          </w:tcPr>
          <w:p>
            <w:pPr>
              <w:wordWrap w:val="0"/>
              <w:jc w:val="center"/>
              <w:rPr>
                <w:rFonts w:hint="eastAsia" w:ascii="宋体" w:hAnsi="宋体" w:eastAsia="宋体" w:cs="宋体"/>
                <w:bCs/>
                <w:sz w:val="21"/>
                <w:szCs w:val="21"/>
              </w:rPr>
            </w:pPr>
            <w:r>
              <w:rPr>
                <w:rFonts w:hint="eastAsia" w:ascii="宋体" w:hAnsi="宋体" w:eastAsia="宋体" w:cs="宋体"/>
                <w:bCs/>
                <w:sz w:val="21"/>
                <w:szCs w:val="21"/>
                <w:highlight w:val="none"/>
              </w:rPr>
              <w:t>主观分</w:t>
            </w:r>
          </w:p>
        </w:tc>
        <w:tc>
          <w:tcPr>
            <w:tcW w:w="21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left"/>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对运维对象</w:t>
            </w:r>
            <w:r>
              <w:rPr>
                <w:rFonts w:hint="eastAsia" w:ascii="宋体" w:hAnsi="宋体" w:cs="宋体"/>
                <w:b w:val="0"/>
                <w:bCs/>
                <w:sz w:val="21"/>
                <w:szCs w:val="21"/>
                <w:highlight w:val="none"/>
                <w:lang w:eastAsia="zh-CN"/>
              </w:rPr>
              <w:t>、</w:t>
            </w:r>
            <w:r>
              <w:rPr>
                <w:rFonts w:hint="eastAsia" w:ascii="宋体" w:hAnsi="宋体" w:eastAsia="宋体" w:cs="宋体"/>
                <w:b w:val="0"/>
                <w:bCs/>
                <w:sz w:val="21"/>
                <w:szCs w:val="21"/>
                <w:highlight w:val="none"/>
              </w:rPr>
              <w:t>服务范围分析、理解的准确性；</w:t>
            </w:r>
          </w:p>
          <w:p>
            <w:pPr>
              <w:keepNext w:val="0"/>
              <w:keepLines w:val="0"/>
              <w:pageBreakBefore w:val="0"/>
              <w:kinsoku/>
              <w:wordWrap w:val="0"/>
              <w:overflowPunct/>
              <w:topLinePunct w:val="0"/>
              <w:autoSpaceDE/>
              <w:autoSpaceDN/>
              <w:bidi w:val="0"/>
              <w:adjustRightInd/>
              <w:snapToGrid/>
              <w:spacing w:line="240" w:lineRule="auto"/>
              <w:jc w:val="left"/>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对运维服务要求分析、理解的准确性、深入程度；</w:t>
            </w:r>
          </w:p>
          <w:p>
            <w:pPr>
              <w:keepNext w:val="0"/>
              <w:keepLines w:val="0"/>
              <w:pageBreakBefore w:val="0"/>
              <w:kinsoku/>
              <w:wordWrap w:val="0"/>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b w:val="0"/>
                <w:bCs/>
                <w:sz w:val="21"/>
                <w:szCs w:val="21"/>
                <w:highlight w:val="none"/>
              </w:rPr>
              <w:t>重点难点分析、合理化建议的准确性、针对性。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87" w:type="pct"/>
            <w:vMerge w:val="restart"/>
            <w:tcBorders>
              <w:left w:val="single" w:color="auto" w:sz="4" w:space="0"/>
              <w:right w:val="single" w:color="auto" w:sz="4" w:space="0"/>
            </w:tcBorders>
            <w:noWrap w:val="0"/>
            <w:vAlign w:val="center"/>
          </w:tcPr>
          <w:p>
            <w:pPr>
              <w:wordWrap w:val="0"/>
              <w:jc w:val="center"/>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3</w:t>
            </w:r>
          </w:p>
        </w:tc>
        <w:tc>
          <w:tcPr>
            <w:tcW w:w="636" w:type="pct"/>
            <w:vMerge w:val="restart"/>
            <w:tcBorders>
              <w:left w:val="single" w:color="auto" w:sz="4" w:space="0"/>
              <w:right w:val="single" w:color="auto" w:sz="4" w:space="0"/>
            </w:tcBorders>
            <w:noWrap w:val="0"/>
            <w:vAlign w:val="center"/>
          </w:tcPr>
          <w:p>
            <w:pPr>
              <w:wordWrap w:val="0"/>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服务方案</w:t>
            </w:r>
          </w:p>
        </w:tc>
        <w:tc>
          <w:tcPr>
            <w:tcW w:w="890" w:type="pct"/>
            <w:tcBorders>
              <w:top w:val="single" w:color="auto" w:sz="4" w:space="0"/>
              <w:left w:val="single" w:color="auto" w:sz="4" w:space="0"/>
              <w:right w:val="single" w:color="auto" w:sz="4" w:space="0"/>
            </w:tcBorders>
            <w:noWrap w:val="0"/>
            <w:vAlign w:val="center"/>
          </w:tcPr>
          <w:p>
            <w:pPr>
              <w:wordWrap w:val="0"/>
              <w:jc w:val="center"/>
              <w:rPr>
                <w:rFonts w:hint="eastAsia" w:ascii="宋体" w:hAnsi="宋体" w:eastAsia="宋体" w:cs="宋体"/>
                <w:b/>
                <w:bCs w:val="0"/>
                <w:sz w:val="21"/>
                <w:szCs w:val="21"/>
                <w:lang w:val="en-US" w:eastAsia="zh-CN"/>
              </w:rPr>
            </w:pPr>
            <w:r>
              <w:rPr>
                <w:rFonts w:hint="eastAsia" w:ascii="宋体" w:hAnsi="宋体" w:eastAsia="宋体" w:cs="宋体"/>
                <w:b/>
                <w:bCs w:val="0"/>
                <w:sz w:val="21"/>
                <w:szCs w:val="21"/>
              </w:rPr>
              <w:t>城市日常管理子系统</w:t>
            </w:r>
            <w:r>
              <w:rPr>
                <w:rFonts w:hint="eastAsia" w:ascii="宋体" w:hAnsi="宋体" w:cs="宋体"/>
                <w:b/>
                <w:bCs w:val="0"/>
                <w:sz w:val="21"/>
                <w:szCs w:val="21"/>
                <w:lang w:val="en-US" w:eastAsia="zh-CN"/>
              </w:rPr>
              <w:t>运维方案</w:t>
            </w:r>
          </w:p>
        </w:tc>
        <w:tc>
          <w:tcPr>
            <w:tcW w:w="396" w:type="pct"/>
            <w:tcBorders>
              <w:left w:val="single" w:color="auto" w:sz="4" w:space="0"/>
              <w:right w:val="single" w:color="auto" w:sz="4" w:space="0"/>
            </w:tcBorders>
            <w:noWrap w:val="0"/>
            <w:vAlign w:val="center"/>
          </w:tcPr>
          <w:p>
            <w:pPr>
              <w:wordWrap w:val="0"/>
              <w:jc w:val="center"/>
              <w:rPr>
                <w:rFonts w:hint="default" w:ascii="宋体" w:hAnsi="宋体" w:eastAsia="宋体" w:cs="宋体"/>
                <w:b/>
                <w:sz w:val="21"/>
                <w:szCs w:val="21"/>
                <w:lang w:val="en-US" w:eastAsia="zh-CN"/>
              </w:rPr>
            </w:pPr>
            <w:r>
              <w:rPr>
                <w:rFonts w:hint="eastAsia" w:ascii="宋体" w:hAnsi="宋体" w:cs="宋体"/>
                <w:b/>
                <w:sz w:val="21"/>
                <w:szCs w:val="21"/>
                <w:lang w:eastAsia="zh-CN"/>
              </w:rPr>
              <w:t>0-</w:t>
            </w:r>
            <w:r>
              <w:rPr>
                <w:rFonts w:hint="eastAsia" w:ascii="宋体" w:hAnsi="宋体" w:cs="宋体"/>
                <w:b/>
                <w:sz w:val="21"/>
                <w:szCs w:val="21"/>
                <w:lang w:val="en-US" w:eastAsia="zh-CN"/>
              </w:rPr>
              <w:t>20</w:t>
            </w:r>
          </w:p>
        </w:tc>
        <w:tc>
          <w:tcPr>
            <w:tcW w:w="510" w:type="pct"/>
            <w:tcBorders>
              <w:left w:val="single" w:color="auto" w:sz="4" w:space="0"/>
              <w:right w:val="single" w:color="auto" w:sz="4" w:space="0"/>
            </w:tcBorders>
            <w:noWrap w:val="0"/>
            <w:vAlign w:val="center"/>
          </w:tcPr>
          <w:p>
            <w:pPr>
              <w:wordWrap w:val="0"/>
              <w:jc w:val="center"/>
              <w:rPr>
                <w:rFonts w:hint="eastAsia" w:ascii="宋体" w:hAnsi="宋体" w:eastAsia="宋体" w:cs="宋体"/>
                <w:b/>
                <w:sz w:val="21"/>
                <w:szCs w:val="21"/>
              </w:rPr>
            </w:pPr>
            <w:r>
              <w:rPr>
                <w:rFonts w:hint="eastAsia" w:ascii="宋体" w:hAnsi="宋体" w:eastAsia="宋体" w:cs="宋体"/>
                <w:bCs/>
                <w:sz w:val="21"/>
                <w:szCs w:val="21"/>
              </w:rPr>
              <w:t>主观分</w:t>
            </w:r>
          </w:p>
        </w:tc>
        <w:tc>
          <w:tcPr>
            <w:tcW w:w="2178" w:type="pct"/>
            <w:tcBorders>
              <w:left w:val="single" w:color="auto" w:sz="4" w:space="0"/>
              <w:right w:val="single" w:color="auto" w:sz="4" w:space="0"/>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left"/>
              <w:textAlignment w:val="auto"/>
              <w:rPr>
                <w:rFonts w:hint="default" w:ascii="宋体" w:hAnsi="宋体" w:eastAsia="宋体" w:cs="宋体"/>
                <w:bCs/>
                <w:sz w:val="21"/>
                <w:szCs w:val="21"/>
                <w:lang w:val="en-US"/>
              </w:rPr>
            </w:pPr>
            <w:r>
              <w:rPr>
                <w:rFonts w:hint="eastAsia" w:ascii="宋体" w:hAnsi="宋体" w:eastAsia="宋体" w:cs="宋体"/>
                <w:bCs/>
                <w:sz w:val="21"/>
                <w:szCs w:val="21"/>
              </w:rPr>
              <w:t>城市日常管理子系统</w:t>
            </w:r>
            <w:r>
              <w:rPr>
                <w:rFonts w:hint="eastAsia" w:ascii="宋体" w:hAnsi="宋体" w:cs="宋体"/>
                <w:bCs/>
                <w:sz w:val="21"/>
                <w:szCs w:val="21"/>
                <w:lang w:val="en-US" w:eastAsia="zh-CN"/>
              </w:rPr>
              <w:t>运维方案的完整性、科学性、合理性。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87" w:type="pct"/>
            <w:vMerge w:val="continue"/>
            <w:tcBorders>
              <w:left w:val="single" w:color="auto" w:sz="4" w:space="0"/>
              <w:right w:val="single" w:color="auto" w:sz="4" w:space="0"/>
            </w:tcBorders>
            <w:noWrap w:val="0"/>
            <w:vAlign w:val="center"/>
          </w:tcPr>
          <w:p>
            <w:pPr>
              <w:wordWrap w:val="0"/>
              <w:jc w:val="center"/>
              <w:rPr>
                <w:rFonts w:hint="eastAsia" w:ascii="宋体" w:hAnsi="宋体" w:eastAsia="宋体" w:cs="宋体"/>
                <w:b/>
                <w:bCs w:val="0"/>
                <w:sz w:val="21"/>
                <w:szCs w:val="21"/>
              </w:rPr>
            </w:pPr>
          </w:p>
        </w:tc>
        <w:tc>
          <w:tcPr>
            <w:tcW w:w="636" w:type="pct"/>
            <w:vMerge w:val="continue"/>
            <w:tcBorders>
              <w:left w:val="single" w:color="auto" w:sz="4" w:space="0"/>
              <w:right w:val="single" w:color="auto" w:sz="4" w:space="0"/>
            </w:tcBorders>
            <w:noWrap w:val="0"/>
            <w:vAlign w:val="center"/>
          </w:tcPr>
          <w:p>
            <w:pPr>
              <w:wordWrap w:val="0"/>
              <w:jc w:val="center"/>
              <w:rPr>
                <w:rFonts w:hint="eastAsia" w:ascii="宋体" w:hAnsi="宋体" w:eastAsia="宋体" w:cs="宋体"/>
                <w:b/>
                <w:sz w:val="21"/>
                <w:szCs w:val="21"/>
              </w:rPr>
            </w:pPr>
          </w:p>
        </w:tc>
        <w:tc>
          <w:tcPr>
            <w:tcW w:w="890" w:type="pct"/>
            <w:tcBorders>
              <w:top w:val="single" w:color="auto" w:sz="4" w:space="0"/>
              <w:left w:val="single" w:color="auto" w:sz="4" w:space="0"/>
              <w:right w:val="single" w:color="auto" w:sz="4" w:space="0"/>
            </w:tcBorders>
            <w:noWrap w:val="0"/>
            <w:vAlign w:val="center"/>
          </w:tcPr>
          <w:p>
            <w:pPr>
              <w:wordWrap w:val="0"/>
              <w:jc w:val="center"/>
              <w:rPr>
                <w:rFonts w:hint="eastAsia" w:ascii="宋体" w:hAnsi="宋体" w:eastAsia="宋体" w:cs="宋体"/>
                <w:b/>
                <w:bCs w:val="0"/>
                <w:sz w:val="21"/>
                <w:szCs w:val="21"/>
              </w:rPr>
            </w:pPr>
            <w:r>
              <w:rPr>
                <w:rFonts w:hint="eastAsia" w:ascii="宋体" w:hAnsi="宋体" w:eastAsia="宋体" w:cs="宋体"/>
                <w:b/>
                <w:bCs w:val="0"/>
                <w:sz w:val="21"/>
                <w:szCs w:val="21"/>
              </w:rPr>
              <w:t>移动端（上报+处置）</w:t>
            </w:r>
            <w:r>
              <w:rPr>
                <w:rFonts w:hint="eastAsia" w:ascii="宋体" w:hAnsi="宋体" w:cs="宋体"/>
                <w:b/>
                <w:bCs w:val="0"/>
                <w:sz w:val="21"/>
                <w:szCs w:val="21"/>
                <w:lang w:val="en-US" w:eastAsia="zh-CN"/>
              </w:rPr>
              <w:t>运维方案</w:t>
            </w:r>
          </w:p>
        </w:tc>
        <w:tc>
          <w:tcPr>
            <w:tcW w:w="396" w:type="pct"/>
            <w:tcBorders>
              <w:left w:val="single" w:color="auto" w:sz="4" w:space="0"/>
              <w:right w:val="single" w:color="auto" w:sz="4" w:space="0"/>
            </w:tcBorders>
            <w:noWrap w:val="0"/>
            <w:vAlign w:val="center"/>
          </w:tcPr>
          <w:p>
            <w:pPr>
              <w:wordWrap w:val="0"/>
              <w:jc w:val="center"/>
              <w:rPr>
                <w:rFonts w:hint="default" w:ascii="宋体" w:hAnsi="宋体" w:eastAsia="宋体" w:cs="宋体"/>
                <w:b/>
                <w:sz w:val="21"/>
                <w:szCs w:val="21"/>
                <w:lang w:val="en-US" w:eastAsia="zh-CN"/>
              </w:rPr>
            </w:pPr>
            <w:r>
              <w:rPr>
                <w:rFonts w:hint="eastAsia" w:ascii="宋体" w:hAnsi="宋体" w:cs="宋体"/>
                <w:b/>
                <w:sz w:val="21"/>
                <w:szCs w:val="21"/>
                <w:lang w:eastAsia="zh-CN"/>
              </w:rPr>
              <w:t>0-</w:t>
            </w:r>
            <w:r>
              <w:rPr>
                <w:rFonts w:hint="eastAsia" w:ascii="宋体" w:hAnsi="宋体" w:cs="宋体"/>
                <w:b/>
                <w:sz w:val="21"/>
                <w:szCs w:val="21"/>
                <w:lang w:val="en-US" w:eastAsia="zh-CN"/>
              </w:rPr>
              <w:t>20</w:t>
            </w:r>
          </w:p>
        </w:tc>
        <w:tc>
          <w:tcPr>
            <w:tcW w:w="510" w:type="pct"/>
            <w:tcBorders>
              <w:left w:val="single" w:color="auto" w:sz="4" w:space="0"/>
              <w:right w:val="single" w:color="auto" w:sz="4" w:space="0"/>
            </w:tcBorders>
            <w:noWrap w:val="0"/>
            <w:vAlign w:val="center"/>
          </w:tcPr>
          <w:p>
            <w:pPr>
              <w:wordWrap w:val="0"/>
              <w:jc w:val="center"/>
              <w:rPr>
                <w:rFonts w:hint="eastAsia" w:ascii="宋体" w:hAnsi="宋体" w:eastAsia="宋体" w:cs="宋体"/>
                <w:b/>
                <w:sz w:val="21"/>
                <w:szCs w:val="21"/>
              </w:rPr>
            </w:pPr>
            <w:r>
              <w:rPr>
                <w:rFonts w:hint="eastAsia" w:ascii="宋体" w:hAnsi="宋体" w:eastAsia="宋体" w:cs="宋体"/>
                <w:bCs/>
                <w:sz w:val="21"/>
                <w:szCs w:val="21"/>
              </w:rPr>
              <w:t>主观分</w:t>
            </w:r>
          </w:p>
        </w:tc>
        <w:tc>
          <w:tcPr>
            <w:tcW w:w="2178" w:type="pct"/>
            <w:tcBorders>
              <w:left w:val="single" w:color="auto" w:sz="4" w:space="0"/>
              <w:right w:val="single" w:color="auto" w:sz="4" w:space="0"/>
            </w:tcBorders>
            <w:noWrap w:val="0"/>
            <w:vAlign w:val="center"/>
          </w:tcPr>
          <w:p>
            <w:pPr>
              <w:keepNext w:val="0"/>
              <w:keepLines w:val="0"/>
              <w:pageBreakBefore w:val="0"/>
              <w:kinsoku/>
              <w:wordWrap w:val="0"/>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Cs/>
                <w:sz w:val="21"/>
                <w:szCs w:val="21"/>
              </w:rPr>
              <w:t>移动端（上报+处置）</w:t>
            </w:r>
            <w:r>
              <w:rPr>
                <w:rFonts w:hint="eastAsia" w:ascii="宋体" w:hAnsi="宋体" w:cs="宋体"/>
                <w:bCs/>
                <w:sz w:val="21"/>
                <w:szCs w:val="21"/>
                <w:lang w:val="en-US" w:eastAsia="zh-CN"/>
              </w:rPr>
              <w:t>运维方案的完整性、科学性、合理性。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tcBorders>
              <w:top w:val="single" w:color="auto" w:sz="4" w:space="0"/>
              <w:left w:val="single" w:color="auto" w:sz="4" w:space="0"/>
              <w:right w:val="single" w:color="auto" w:sz="4" w:space="0"/>
            </w:tcBorders>
            <w:noWrap w:val="0"/>
            <w:vAlign w:val="center"/>
          </w:tcPr>
          <w:p>
            <w:pPr>
              <w:wordWrap w:val="0"/>
              <w:jc w:val="center"/>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4</w:t>
            </w:r>
          </w:p>
        </w:tc>
        <w:tc>
          <w:tcPr>
            <w:tcW w:w="636" w:type="pct"/>
            <w:tcBorders>
              <w:top w:val="single" w:color="auto" w:sz="4" w:space="0"/>
              <w:left w:val="single" w:color="auto" w:sz="4" w:space="0"/>
              <w:right w:val="single" w:color="auto" w:sz="4" w:space="0"/>
            </w:tcBorders>
            <w:noWrap w:val="0"/>
            <w:vAlign w:val="center"/>
          </w:tcPr>
          <w:p>
            <w:pPr>
              <w:wordWrap w:val="0"/>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应急响应方案</w:t>
            </w:r>
          </w:p>
        </w:tc>
        <w:tc>
          <w:tcPr>
            <w:tcW w:w="890" w:type="pct"/>
            <w:tcBorders>
              <w:top w:val="single" w:color="auto" w:sz="4" w:space="0"/>
              <w:left w:val="single" w:color="auto" w:sz="4" w:space="0"/>
              <w:right w:val="single" w:color="auto" w:sz="4" w:space="0"/>
            </w:tcBorders>
            <w:noWrap w:val="0"/>
            <w:vAlign w:val="center"/>
          </w:tcPr>
          <w:p>
            <w:pPr>
              <w:wordWrap w:val="0"/>
              <w:jc w:val="center"/>
              <w:rPr>
                <w:rFonts w:hint="eastAsia" w:ascii="宋体" w:hAnsi="宋体" w:eastAsia="宋体" w:cs="宋体"/>
                <w:b/>
                <w:bCs w:val="0"/>
                <w:sz w:val="21"/>
                <w:szCs w:val="21"/>
              </w:rPr>
            </w:pPr>
            <w:r>
              <w:rPr>
                <w:rFonts w:hint="eastAsia" w:ascii="宋体" w:hAnsi="宋体" w:cs="宋体"/>
                <w:b/>
                <w:sz w:val="21"/>
                <w:szCs w:val="21"/>
                <w:lang w:val="en-US" w:eastAsia="zh-CN"/>
              </w:rPr>
              <w:t>应急响应方案</w:t>
            </w:r>
          </w:p>
        </w:tc>
        <w:tc>
          <w:tcPr>
            <w:tcW w:w="396" w:type="pct"/>
            <w:tcBorders>
              <w:top w:val="single" w:color="auto" w:sz="4" w:space="0"/>
              <w:left w:val="single" w:color="auto" w:sz="4" w:space="0"/>
              <w:right w:val="single" w:color="auto" w:sz="4" w:space="0"/>
            </w:tcBorders>
            <w:noWrap w:val="0"/>
            <w:vAlign w:val="center"/>
          </w:tcPr>
          <w:p>
            <w:pPr>
              <w:wordWrap w:val="0"/>
              <w:jc w:val="center"/>
              <w:rPr>
                <w:rFonts w:hint="default" w:ascii="宋体" w:hAnsi="宋体" w:eastAsia="宋体" w:cs="宋体"/>
                <w:b/>
                <w:sz w:val="21"/>
                <w:szCs w:val="21"/>
                <w:lang w:val="en-US" w:eastAsia="zh-CN"/>
              </w:rPr>
            </w:pPr>
            <w:r>
              <w:rPr>
                <w:rFonts w:hint="eastAsia" w:ascii="宋体" w:hAnsi="宋体" w:cs="宋体"/>
                <w:b/>
                <w:sz w:val="21"/>
                <w:szCs w:val="21"/>
                <w:lang w:eastAsia="zh-CN"/>
              </w:rPr>
              <w:t>0-1</w:t>
            </w:r>
            <w:r>
              <w:rPr>
                <w:rFonts w:hint="eastAsia" w:ascii="宋体" w:hAnsi="宋体" w:cs="宋体"/>
                <w:b/>
                <w:sz w:val="21"/>
                <w:szCs w:val="21"/>
                <w:lang w:val="en-US" w:eastAsia="zh-CN"/>
              </w:rPr>
              <w:t>5</w:t>
            </w:r>
          </w:p>
        </w:tc>
        <w:tc>
          <w:tcPr>
            <w:tcW w:w="510" w:type="pct"/>
            <w:tcBorders>
              <w:top w:val="single" w:color="auto" w:sz="4" w:space="0"/>
              <w:left w:val="single" w:color="auto" w:sz="4" w:space="0"/>
              <w:bottom w:val="single" w:color="auto" w:sz="4" w:space="0"/>
              <w:right w:val="single" w:color="auto" w:sz="4" w:space="0"/>
            </w:tcBorders>
            <w:noWrap w:val="0"/>
            <w:vAlign w:val="center"/>
          </w:tcPr>
          <w:p>
            <w:pPr>
              <w:wordWrap w:val="0"/>
              <w:jc w:val="center"/>
              <w:rPr>
                <w:rFonts w:hint="eastAsia" w:ascii="宋体" w:hAnsi="宋体" w:eastAsia="宋体" w:cs="宋体"/>
                <w:bCs/>
                <w:sz w:val="21"/>
                <w:szCs w:val="21"/>
              </w:rPr>
            </w:pPr>
            <w:r>
              <w:rPr>
                <w:rFonts w:hint="eastAsia" w:ascii="宋体" w:hAnsi="宋体" w:eastAsia="宋体" w:cs="宋体"/>
                <w:bCs/>
                <w:sz w:val="21"/>
                <w:szCs w:val="21"/>
              </w:rPr>
              <w:t>主观分</w:t>
            </w:r>
          </w:p>
        </w:tc>
        <w:tc>
          <w:tcPr>
            <w:tcW w:w="21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bCs/>
                <w:sz w:val="21"/>
                <w:szCs w:val="21"/>
                <w:lang w:val="en-US" w:eastAsia="zh-CN"/>
              </w:rPr>
              <w:t>应急响应方案（包括详细的应急响应过程，响应方式，响应时间，故障修复时间等）</w:t>
            </w:r>
            <w:r>
              <w:rPr>
                <w:rFonts w:hint="eastAsia" w:ascii="宋体" w:hAnsi="宋体" w:eastAsia="宋体" w:cs="宋体"/>
                <w:bCs/>
                <w:sz w:val="21"/>
                <w:szCs w:val="21"/>
              </w:rPr>
              <w:t>的</w:t>
            </w:r>
            <w:r>
              <w:rPr>
                <w:rFonts w:hint="eastAsia" w:ascii="宋体" w:hAnsi="宋体" w:cs="宋体"/>
                <w:bCs/>
                <w:sz w:val="21"/>
                <w:szCs w:val="21"/>
                <w:lang w:val="en-US" w:eastAsia="zh-CN"/>
              </w:rPr>
              <w:t>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restart"/>
            <w:tcBorders>
              <w:top w:val="single" w:color="auto" w:sz="4" w:space="0"/>
              <w:left w:val="single" w:color="auto" w:sz="4" w:space="0"/>
              <w:right w:val="single" w:color="auto" w:sz="4" w:space="0"/>
            </w:tcBorders>
            <w:noWrap w:val="0"/>
            <w:vAlign w:val="center"/>
          </w:tcPr>
          <w:p>
            <w:pPr>
              <w:wordWrap w:val="0"/>
              <w:jc w:val="center"/>
              <w:rPr>
                <w:rFonts w:hint="default" w:ascii="宋体" w:hAnsi="宋体" w:eastAsia="宋体" w:cs="宋体"/>
                <w:b/>
                <w:bCs w:val="0"/>
                <w:sz w:val="21"/>
                <w:szCs w:val="21"/>
                <w:highlight w:val="none"/>
                <w:lang w:val="en-US" w:eastAsia="zh-CN"/>
              </w:rPr>
            </w:pPr>
            <w:r>
              <w:rPr>
                <w:rFonts w:hint="eastAsia" w:ascii="宋体" w:hAnsi="宋体" w:cs="宋体"/>
                <w:b/>
                <w:bCs w:val="0"/>
                <w:sz w:val="21"/>
                <w:szCs w:val="21"/>
                <w:highlight w:val="none"/>
                <w:lang w:val="en-US" w:eastAsia="zh-CN"/>
              </w:rPr>
              <w:t>5</w:t>
            </w:r>
          </w:p>
        </w:tc>
        <w:tc>
          <w:tcPr>
            <w:tcW w:w="636" w:type="pct"/>
            <w:vMerge w:val="restart"/>
            <w:tcBorders>
              <w:top w:val="single" w:color="auto" w:sz="4" w:space="0"/>
              <w:left w:val="single" w:color="auto" w:sz="4" w:space="0"/>
              <w:right w:val="single" w:color="auto" w:sz="4" w:space="0"/>
            </w:tcBorders>
            <w:noWrap w:val="0"/>
            <w:vAlign w:val="center"/>
          </w:tcPr>
          <w:p>
            <w:pPr>
              <w:contextualSpacing/>
              <w:jc w:val="center"/>
              <w:rPr>
                <w:rFonts w:hint="eastAsia" w:ascii="宋体" w:hAnsi="宋体" w:eastAsia="宋体" w:cs="宋体"/>
                <w:b/>
                <w:sz w:val="21"/>
                <w:szCs w:val="21"/>
                <w:highlight w:val="none"/>
                <w:lang w:val="en-US" w:eastAsia="zh-CN"/>
              </w:rPr>
            </w:pPr>
            <w:r>
              <w:rPr>
                <w:rFonts w:hint="eastAsia" w:ascii="宋体" w:hAnsi="宋体" w:cs="宋体"/>
                <w:b/>
                <w:sz w:val="21"/>
                <w:szCs w:val="21"/>
                <w:highlight w:val="none"/>
                <w:lang w:val="en-US" w:eastAsia="zh-CN"/>
              </w:rPr>
              <w:t>项目经理（项目负责人）</w:t>
            </w:r>
          </w:p>
        </w:tc>
        <w:tc>
          <w:tcPr>
            <w:tcW w:w="890" w:type="pct"/>
            <w:tcBorders>
              <w:top w:val="single" w:color="auto" w:sz="4" w:space="0"/>
              <w:left w:val="single" w:color="auto" w:sz="4" w:space="0"/>
              <w:right w:val="single" w:color="auto" w:sz="4" w:space="0"/>
            </w:tcBorders>
            <w:noWrap w:val="0"/>
            <w:vAlign w:val="center"/>
          </w:tcPr>
          <w:p>
            <w:pPr>
              <w:contextualSpacing/>
              <w:jc w:val="center"/>
              <w:rPr>
                <w:rFonts w:hint="eastAsia" w:ascii="宋体" w:hAnsi="宋体" w:eastAsia="宋体" w:cs="宋体"/>
                <w:b/>
                <w:bCs w:val="0"/>
                <w:sz w:val="21"/>
                <w:szCs w:val="21"/>
                <w:highlight w:val="none"/>
                <w:lang w:val="en-US" w:eastAsia="zh-CN"/>
              </w:rPr>
            </w:pPr>
            <w:r>
              <w:rPr>
                <w:rFonts w:hint="eastAsia" w:ascii="宋体" w:hAnsi="宋体" w:cs="宋体"/>
                <w:b/>
                <w:bCs w:val="0"/>
                <w:sz w:val="21"/>
                <w:szCs w:val="21"/>
                <w:highlight w:val="none"/>
                <w:lang w:val="en-US" w:eastAsia="zh-CN"/>
              </w:rPr>
              <w:t>经验</w:t>
            </w:r>
          </w:p>
        </w:tc>
        <w:tc>
          <w:tcPr>
            <w:tcW w:w="396" w:type="pct"/>
            <w:tcBorders>
              <w:top w:val="single" w:color="auto" w:sz="4" w:space="0"/>
              <w:left w:val="single" w:color="auto" w:sz="4" w:space="0"/>
              <w:right w:val="single" w:color="auto" w:sz="4" w:space="0"/>
            </w:tcBorders>
            <w:noWrap w:val="0"/>
            <w:vAlign w:val="center"/>
          </w:tcPr>
          <w:p>
            <w:pPr>
              <w:contextualSpacing/>
              <w:jc w:val="center"/>
              <w:rPr>
                <w:rFonts w:hint="default" w:ascii="宋体" w:hAnsi="宋体" w:eastAsia="宋体" w:cs="宋体"/>
                <w:b/>
                <w:sz w:val="21"/>
                <w:szCs w:val="21"/>
                <w:highlight w:val="none"/>
                <w:lang w:val="en-US" w:eastAsia="zh-CN"/>
              </w:rPr>
            </w:pPr>
            <w:r>
              <w:rPr>
                <w:rFonts w:hint="eastAsia" w:ascii="宋体" w:hAnsi="宋体" w:cs="宋体"/>
                <w:b/>
                <w:sz w:val="21"/>
                <w:szCs w:val="21"/>
                <w:highlight w:val="none"/>
                <w:lang w:val="en-US" w:eastAsia="zh-CN"/>
              </w:rPr>
              <w:t>0-3</w:t>
            </w:r>
          </w:p>
        </w:tc>
        <w:tc>
          <w:tcPr>
            <w:tcW w:w="510" w:type="pct"/>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主观分</w:t>
            </w:r>
          </w:p>
        </w:tc>
        <w:tc>
          <w:tcPr>
            <w:tcW w:w="21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b w:val="0"/>
                <w:bCs/>
                <w:kern w:val="0"/>
                <w:sz w:val="21"/>
                <w:szCs w:val="21"/>
                <w:highlight w:val="none"/>
              </w:rPr>
            </w:pPr>
            <w:r>
              <w:rPr>
                <w:rFonts w:hint="eastAsia" w:ascii="宋体" w:hAnsi="宋体" w:eastAsia="宋体" w:cs="宋体"/>
                <w:b w:val="0"/>
                <w:bCs/>
                <w:sz w:val="21"/>
                <w:szCs w:val="21"/>
              </w:rPr>
              <w:t>项目经理具有</w:t>
            </w:r>
            <w:r>
              <w:rPr>
                <w:rFonts w:hint="eastAsia" w:ascii="宋体" w:hAnsi="宋体" w:eastAsia="宋体" w:cs="宋体"/>
                <w:b w:val="0"/>
                <w:bCs/>
                <w:sz w:val="21"/>
                <w:szCs w:val="21"/>
                <w:lang w:val="en-US" w:eastAsia="zh-CN"/>
              </w:rPr>
              <w:t>政务信息系统运维项目管理经验</w:t>
            </w:r>
            <w:r>
              <w:rPr>
                <w:rFonts w:hint="eastAsia" w:ascii="宋体" w:hAnsi="宋体" w:eastAsia="宋体" w:cs="宋体"/>
                <w:b w:val="0"/>
                <w:bCs/>
                <w:sz w:val="21"/>
                <w:szCs w:val="21"/>
              </w:rPr>
              <w:t>的</w:t>
            </w:r>
            <w:r>
              <w:rPr>
                <w:rFonts w:hint="eastAsia" w:ascii="宋体" w:hAnsi="宋体" w:cs="宋体"/>
                <w:b w:val="0"/>
                <w:bCs/>
                <w:sz w:val="21"/>
                <w:szCs w:val="21"/>
                <w:lang w:eastAsia="zh-CN"/>
              </w:rPr>
              <w:t>，</w:t>
            </w:r>
            <w:r>
              <w:rPr>
                <w:rFonts w:hint="eastAsia" w:ascii="宋体" w:hAnsi="宋体" w:cs="宋体"/>
                <w:b w:val="0"/>
                <w:bCs/>
                <w:sz w:val="21"/>
                <w:szCs w:val="21"/>
                <w:lang w:val="en-US" w:eastAsia="zh-CN"/>
              </w:rPr>
              <w:t>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vMerge w:val="continue"/>
            <w:tcBorders>
              <w:left w:val="single" w:color="auto" w:sz="4" w:space="0"/>
              <w:right w:val="single" w:color="auto" w:sz="4" w:space="0"/>
            </w:tcBorders>
            <w:noWrap w:val="0"/>
            <w:vAlign w:val="center"/>
          </w:tcPr>
          <w:p>
            <w:pPr>
              <w:wordWrap w:val="0"/>
              <w:jc w:val="center"/>
              <w:rPr>
                <w:rFonts w:hint="eastAsia" w:ascii="宋体" w:hAnsi="宋体" w:cs="宋体"/>
                <w:b/>
                <w:bCs w:val="0"/>
                <w:sz w:val="21"/>
                <w:szCs w:val="21"/>
                <w:highlight w:val="none"/>
                <w:lang w:val="en-US" w:eastAsia="zh-CN"/>
              </w:rPr>
            </w:pPr>
          </w:p>
        </w:tc>
        <w:tc>
          <w:tcPr>
            <w:tcW w:w="636" w:type="pct"/>
            <w:vMerge w:val="continue"/>
            <w:tcBorders>
              <w:left w:val="single" w:color="auto" w:sz="4" w:space="0"/>
              <w:right w:val="single" w:color="auto" w:sz="4" w:space="0"/>
            </w:tcBorders>
            <w:noWrap w:val="0"/>
            <w:vAlign w:val="center"/>
          </w:tcPr>
          <w:p>
            <w:pPr>
              <w:contextualSpacing/>
              <w:jc w:val="center"/>
              <w:rPr>
                <w:rFonts w:hint="eastAsia" w:ascii="宋体" w:hAnsi="宋体" w:cs="宋体"/>
                <w:b/>
                <w:sz w:val="21"/>
                <w:szCs w:val="21"/>
                <w:highlight w:val="none"/>
                <w:lang w:val="en-US" w:eastAsia="zh-CN"/>
              </w:rPr>
            </w:pPr>
          </w:p>
        </w:tc>
        <w:tc>
          <w:tcPr>
            <w:tcW w:w="890" w:type="pct"/>
            <w:tcBorders>
              <w:top w:val="single" w:color="auto" w:sz="4" w:space="0"/>
              <w:left w:val="single" w:color="auto" w:sz="4" w:space="0"/>
              <w:right w:val="single" w:color="auto" w:sz="4" w:space="0"/>
            </w:tcBorders>
            <w:noWrap w:val="0"/>
            <w:vAlign w:val="center"/>
          </w:tcPr>
          <w:p>
            <w:pPr>
              <w:wordWrap w:val="0"/>
              <w:jc w:val="center"/>
              <w:rPr>
                <w:rFonts w:hint="eastAsia" w:ascii="宋体" w:hAnsi="宋体" w:eastAsia="宋体" w:cs="宋体"/>
                <w:b/>
                <w:bCs w:val="0"/>
                <w:kern w:val="2"/>
                <w:sz w:val="21"/>
                <w:szCs w:val="21"/>
                <w:lang w:val="en-US" w:eastAsia="zh-CN" w:bidi="ar-SA"/>
              </w:rPr>
            </w:pPr>
            <w:r>
              <w:rPr>
                <w:rFonts w:hint="eastAsia" w:ascii="宋体" w:hAnsi="宋体" w:cs="宋体"/>
                <w:b/>
                <w:bCs w:val="0"/>
                <w:sz w:val="21"/>
                <w:szCs w:val="21"/>
                <w:lang w:val="en-US" w:eastAsia="zh-CN"/>
              </w:rPr>
              <w:t>证书</w:t>
            </w:r>
          </w:p>
        </w:tc>
        <w:tc>
          <w:tcPr>
            <w:tcW w:w="396" w:type="pct"/>
            <w:tcBorders>
              <w:top w:val="single" w:color="auto" w:sz="4" w:space="0"/>
              <w:left w:val="single" w:color="auto" w:sz="4" w:space="0"/>
              <w:right w:val="single" w:color="auto" w:sz="4" w:space="0"/>
            </w:tcBorders>
            <w:noWrap w:val="0"/>
            <w:vAlign w:val="center"/>
          </w:tcPr>
          <w:p>
            <w:pPr>
              <w:wordWrap w:val="0"/>
              <w:jc w:val="center"/>
              <w:rPr>
                <w:rFonts w:hint="eastAsia" w:ascii="宋体" w:hAnsi="宋体" w:eastAsia="宋体" w:cs="宋体"/>
                <w:b/>
                <w:kern w:val="2"/>
                <w:sz w:val="21"/>
                <w:szCs w:val="21"/>
                <w:lang w:val="en-US" w:eastAsia="zh-CN" w:bidi="ar-SA"/>
              </w:rPr>
            </w:pPr>
            <w:r>
              <w:rPr>
                <w:rFonts w:hint="eastAsia" w:ascii="宋体" w:hAnsi="宋体" w:cs="宋体"/>
                <w:b/>
                <w:sz w:val="21"/>
                <w:szCs w:val="21"/>
                <w:lang w:val="en-US" w:eastAsia="zh-CN"/>
              </w:rPr>
              <w:t>0-3</w:t>
            </w:r>
          </w:p>
        </w:tc>
        <w:tc>
          <w:tcPr>
            <w:tcW w:w="510" w:type="pct"/>
            <w:tcBorders>
              <w:top w:val="single" w:color="auto" w:sz="4" w:space="0"/>
              <w:left w:val="single" w:color="auto" w:sz="4" w:space="0"/>
              <w:bottom w:val="single" w:color="auto" w:sz="4" w:space="0"/>
              <w:right w:val="single" w:color="auto" w:sz="4" w:space="0"/>
            </w:tcBorders>
            <w:noWrap w:val="0"/>
            <w:vAlign w:val="center"/>
          </w:tcPr>
          <w:p>
            <w:pPr>
              <w:wordWrap w:val="0"/>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客观分</w:t>
            </w:r>
          </w:p>
        </w:tc>
        <w:tc>
          <w:tcPr>
            <w:tcW w:w="21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autoSpaceDE/>
              <w:autoSpaceDN/>
              <w:bidi w:val="0"/>
              <w:adjustRightInd/>
              <w:snapToGrid/>
              <w:spacing w:line="240" w:lineRule="auto"/>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项目经理具有信息系统项目管理师证书的，得3分。</w:t>
            </w:r>
          </w:p>
          <w:p>
            <w:pPr>
              <w:keepNext w:val="0"/>
              <w:keepLines w:val="0"/>
              <w:pageBreakBefore w:val="0"/>
              <w:kinsoku/>
              <w:wordWrap w:val="0"/>
              <w:overflowPunct/>
              <w:topLinePunct w:val="0"/>
              <w:autoSpaceDE/>
              <w:autoSpaceDN/>
              <w:bidi w:val="0"/>
              <w:adjustRightInd/>
              <w:snapToGrid/>
              <w:spacing w:line="240" w:lineRule="auto"/>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以提供的证书为准，未提供的得0分。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tcBorders>
              <w:top w:val="single" w:color="auto" w:sz="4" w:space="0"/>
              <w:left w:val="single" w:color="auto" w:sz="4" w:space="0"/>
              <w:right w:val="single" w:color="auto" w:sz="4" w:space="0"/>
            </w:tcBorders>
            <w:noWrap w:val="0"/>
            <w:vAlign w:val="center"/>
          </w:tcPr>
          <w:p>
            <w:pPr>
              <w:wordWrap w:val="0"/>
              <w:jc w:val="center"/>
              <w:rPr>
                <w:rFonts w:hint="default" w:ascii="宋体" w:hAnsi="宋体" w:eastAsia="宋体" w:cs="宋体"/>
                <w:b/>
                <w:bCs w:val="0"/>
                <w:sz w:val="21"/>
                <w:szCs w:val="21"/>
                <w:highlight w:val="none"/>
                <w:lang w:val="en-US" w:eastAsia="zh-CN"/>
              </w:rPr>
            </w:pPr>
            <w:r>
              <w:rPr>
                <w:rFonts w:hint="eastAsia" w:ascii="宋体" w:hAnsi="宋体" w:cs="宋体"/>
                <w:b/>
                <w:bCs w:val="0"/>
                <w:sz w:val="21"/>
                <w:szCs w:val="21"/>
                <w:highlight w:val="none"/>
                <w:lang w:val="en-US" w:eastAsia="zh-CN"/>
              </w:rPr>
              <w:t>6</w:t>
            </w:r>
          </w:p>
        </w:tc>
        <w:tc>
          <w:tcPr>
            <w:tcW w:w="636" w:type="pct"/>
            <w:tcBorders>
              <w:top w:val="single" w:color="auto" w:sz="4" w:space="0"/>
              <w:left w:val="single" w:color="auto" w:sz="4" w:space="0"/>
              <w:right w:val="single" w:color="auto" w:sz="4" w:space="0"/>
            </w:tcBorders>
            <w:noWrap w:val="0"/>
            <w:vAlign w:val="center"/>
          </w:tcPr>
          <w:p>
            <w:pPr>
              <w:contextualSpacing/>
              <w:jc w:val="center"/>
              <w:rPr>
                <w:rFonts w:hint="eastAsia" w:ascii="宋体" w:hAnsi="宋体" w:eastAsia="宋体" w:cs="宋体"/>
                <w:b/>
                <w:kern w:val="2"/>
                <w:sz w:val="21"/>
                <w:szCs w:val="21"/>
                <w:highlight w:val="none"/>
                <w:lang w:val="en-US" w:eastAsia="zh-CN" w:bidi="ar-SA"/>
              </w:rPr>
            </w:pPr>
            <w:r>
              <w:rPr>
                <w:rFonts w:hint="eastAsia" w:ascii="宋体" w:hAnsi="宋体" w:cs="宋体"/>
                <w:b/>
                <w:sz w:val="21"/>
                <w:szCs w:val="21"/>
                <w:highlight w:val="none"/>
                <w:lang w:val="en-US" w:eastAsia="zh-CN"/>
              </w:rPr>
              <w:t>维护团队</w:t>
            </w:r>
          </w:p>
        </w:tc>
        <w:tc>
          <w:tcPr>
            <w:tcW w:w="890" w:type="pct"/>
            <w:tcBorders>
              <w:top w:val="single" w:color="auto" w:sz="4" w:space="0"/>
              <w:left w:val="single" w:color="auto" w:sz="4" w:space="0"/>
              <w:right w:val="single" w:color="auto" w:sz="4" w:space="0"/>
            </w:tcBorders>
            <w:noWrap w:val="0"/>
            <w:vAlign w:val="center"/>
          </w:tcPr>
          <w:p>
            <w:pPr>
              <w:contextualSpacing/>
              <w:jc w:val="center"/>
              <w:rPr>
                <w:rFonts w:hint="eastAsia" w:ascii="宋体" w:hAnsi="宋体" w:eastAsia="宋体" w:cs="宋体"/>
                <w:b/>
                <w:bCs w:val="0"/>
                <w:kern w:val="2"/>
                <w:sz w:val="21"/>
                <w:szCs w:val="21"/>
                <w:highlight w:val="none"/>
                <w:lang w:val="en-US" w:eastAsia="zh-CN" w:bidi="ar-SA"/>
              </w:rPr>
            </w:pPr>
            <w:r>
              <w:rPr>
                <w:rFonts w:hint="eastAsia" w:ascii="宋体" w:hAnsi="宋体" w:cs="宋体"/>
                <w:b/>
                <w:sz w:val="21"/>
                <w:szCs w:val="21"/>
                <w:highlight w:val="none"/>
                <w:lang w:val="en-US" w:eastAsia="zh-CN"/>
              </w:rPr>
              <w:t>维护团队</w:t>
            </w:r>
          </w:p>
        </w:tc>
        <w:tc>
          <w:tcPr>
            <w:tcW w:w="396" w:type="pct"/>
            <w:tcBorders>
              <w:top w:val="single" w:color="auto" w:sz="4" w:space="0"/>
              <w:left w:val="single" w:color="auto" w:sz="4" w:space="0"/>
              <w:right w:val="single" w:color="auto" w:sz="4" w:space="0"/>
            </w:tcBorders>
            <w:noWrap w:val="0"/>
            <w:vAlign w:val="center"/>
          </w:tcPr>
          <w:p>
            <w:pPr>
              <w:contextualSpacing/>
              <w:jc w:val="center"/>
              <w:rPr>
                <w:rFonts w:hint="default" w:ascii="宋体" w:hAnsi="宋体" w:eastAsia="宋体" w:cs="宋体"/>
                <w:b/>
                <w:kern w:val="2"/>
                <w:sz w:val="21"/>
                <w:szCs w:val="21"/>
                <w:highlight w:val="none"/>
                <w:lang w:val="en-US" w:eastAsia="zh-CN" w:bidi="ar-SA"/>
              </w:rPr>
            </w:pPr>
            <w:r>
              <w:rPr>
                <w:rFonts w:hint="eastAsia" w:ascii="宋体" w:hAnsi="宋体" w:cs="宋体"/>
                <w:b/>
                <w:sz w:val="21"/>
                <w:szCs w:val="21"/>
                <w:highlight w:val="none"/>
                <w:lang w:eastAsia="zh-CN"/>
              </w:rPr>
              <w:t>0-1</w:t>
            </w:r>
            <w:r>
              <w:rPr>
                <w:rFonts w:hint="eastAsia" w:ascii="宋体" w:hAnsi="宋体" w:cs="宋体"/>
                <w:b/>
                <w:sz w:val="21"/>
                <w:szCs w:val="21"/>
                <w:highlight w:val="none"/>
                <w:lang w:val="en-US" w:eastAsia="zh-CN"/>
              </w:rPr>
              <w:t>5</w:t>
            </w:r>
          </w:p>
        </w:tc>
        <w:tc>
          <w:tcPr>
            <w:tcW w:w="510" w:type="pct"/>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rPr>
              <w:t>主观分</w:t>
            </w:r>
          </w:p>
        </w:tc>
        <w:tc>
          <w:tcPr>
            <w:tcW w:w="21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autoSpaceDE/>
              <w:autoSpaceDN/>
              <w:bidi w:val="0"/>
              <w:adjustRightInd/>
              <w:snapToGrid/>
              <w:spacing w:line="240" w:lineRule="auto"/>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服务团队人员数量的充沛性、配置的合理性、工作经验的丰富程度、服务能力的专业性。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tcBorders>
              <w:top w:val="single" w:color="auto" w:sz="4" w:space="0"/>
              <w:left w:val="single" w:color="auto" w:sz="4" w:space="0"/>
              <w:right w:val="single" w:color="auto" w:sz="4" w:space="0"/>
            </w:tcBorders>
            <w:noWrap w:val="0"/>
            <w:vAlign w:val="center"/>
          </w:tcPr>
          <w:p>
            <w:pPr>
              <w:wordWrap w:val="0"/>
              <w:jc w:val="center"/>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7</w:t>
            </w:r>
          </w:p>
        </w:tc>
        <w:tc>
          <w:tcPr>
            <w:tcW w:w="636" w:type="pct"/>
            <w:tcBorders>
              <w:top w:val="single" w:color="auto" w:sz="4" w:space="0"/>
              <w:left w:val="single" w:color="auto" w:sz="4" w:space="0"/>
              <w:right w:val="single" w:color="auto" w:sz="4" w:space="0"/>
            </w:tcBorders>
            <w:noWrap w:val="0"/>
            <w:vAlign w:val="center"/>
          </w:tcPr>
          <w:p>
            <w:pPr>
              <w:wordWrap w:val="0"/>
              <w:spacing w:line="360" w:lineRule="exact"/>
              <w:jc w:val="center"/>
              <w:rPr>
                <w:rFonts w:hint="eastAsia" w:ascii="宋体" w:hAnsi="宋体" w:eastAsia="宋体" w:cs="宋体"/>
                <w:b/>
                <w:sz w:val="21"/>
                <w:szCs w:val="21"/>
                <w:highlight w:val="none"/>
                <w:lang w:eastAsia="zh-CN"/>
              </w:rPr>
            </w:pPr>
            <w:r>
              <w:rPr>
                <w:rFonts w:hint="eastAsia" w:ascii="宋体" w:hAnsi="宋体" w:cs="宋体"/>
                <w:b/>
                <w:sz w:val="21"/>
              </w:rPr>
              <w:t>类似项目业绩</w:t>
            </w:r>
          </w:p>
        </w:tc>
        <w:tc>
          <w:tcPr>
            <w:tcW w:w="890" w:type="pct"/>
            <w:tcBorders>
              <w:top w:val="single" w:color="auto" w:sz="4" w:space="0"/>
              <w:left w:val="single" w:color="auto" w:sz="4" w:space="0"/>
              <w:right w:val="single" w:color="auto" w:sz="4" w:space="0"/>
            </w:tcBorders>
            <w:noWrap w:val="0"/>
            <w:vAlign w:val="center"/>
          </w:tcPr>
          <w:p>
            <w:pPr>
              <w:wordWrap w:val="0"/>
              <w:spacing w:line="360" w:lineRule="exact"/>
              <w:jc w:val="center"/>
              <w:rPr>
                <w:rFonts w:hint="eastAsia" w:ascii="宋体" w:hAnsi="宋体" w:eastAsia="宋体" w:cs="宋体"/>
                <w:b/>
                <w:bCs w:val="0"/>
                <w:sz w:val="21"/>
                <w:szCs w:val="21"/>
                <w:highlight w:val="none"/>
                <w:lang w:eastAsia="zh-CN"/>
              </w:rPr>
            </w:pPr>
            <w:r>
              <w:rPr>
                <w:rFonts w:hint="eastAsia" w:ascii="宋体" w:hAnsi="宋体" w:cs="宋体"/>
                <w:b/>
                <w:bCs w:val="0"/>
                <w:sz w:val="21"/>
              </w:rPr>
              <w:t>类似项目业绩</w:t>
            </w:r>
          </w:p>
        </w:tc>
        <w:tc>
          <w:tcPr>
            <w:tcW w:w="396" w:type="pct"/>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hint="eastAsia" w:ascii="宋体" w:hAnsi="宋体" w:eastAsia="宋体" w:cs="宋体"/>
                <w:b/>
                <w:sz w:val="21"/>
                <w:szCs w:val="21"/>
                <w:highlight w:val="none"/>
                <w:lang w:val="en-US" w:eastAsia="zh-CN"/>
              </w:rPr>
            </w:pPr>
            <w:r>
              <w:rPr>
                <w:rFonts w:hint="eastAsia" w:ascii="宋体" w:hAnsi="宋体" w:cs="宋体"/>
                <w:b/>
                <w:sz w:val="21"/>
              </w:rPr>
              <w:t>0-</w:t>
            </w:r>
            <w:r>
              <w:rPr>
                <w:rFonts w:hint="eastAsia" w:ascii="宋体" w:hAnsi="宋体" w:cs="宋体"/>
                <w:b/>
                <w:sz w:val="21"/>
                <w:lang w:val="en-US" w:eastAsia="zh-CN"/>
              </w:rPr>
              <w:t>2</w:t>
            </w:r>
          </w:p>
        </w:tc>
        <w:tc>
          <w:tcPr>
            <w:tcW w:w="510" w:type="pct"/>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jc w:val="center"/>
              <w:rPr>
                <w:rFonts w:hint="eastAsia" w:ascii="宋体" w:hAnsi="宋体" w:eastAsia="宋体" w:cs="宋体"/>
                <w:sz w:val="21"/>
                <w:szCs w:val="21"/>
                <w:highlight w:val="none"/>
              </w:rPr>
            </w:pPr>
            <w:r>
              <w:rPr>
                <w:rFonts w:hint="eastAsia" w:ascii="宋体" w:hAnsi="宋体" w:cs="宋体"/>
                <w:bCs/>
                <w:sz w:val="21"/>
              </w:rPr>
              <w:t>客观分</w:t>
            </w:r>
          </w:p>
        </w:tc>
        <w:tc>
          <w:tcPr>
            <w:tcW w:w="2178" w:type="pct"/>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rPr>
                <w:rFonts w:hint="eastAsia" w:ascii="宋体" w:hAnsi="宋体" w:cs="宋体"/>
                <w:b w:val="0"/>
                <w:bCs/>
                <w:sz w:val="21"/>
              </w:rPr>
            </w:pPr>
            <w:r>
              <w:rPr>
                <w:rFonts w:hint="eastAsia" w:ascii="宋体" w:hAnsi="宋体" w:cs="宋体"/>
                <w:b w:val="0"/>
                <w:bCs/>
                <w:sz w:val="21"/>
              </w:rPr>
              <w:t>根据响应供应商（提交响应文件截止时间之日向前倒推3年至提交响应文件截止时间之日，以合同签订之日为准）类似</w:t>
            </w:r>
            <w:r>
              <w:rPr>
                <w:rFonts w:hint="eastAsia" w:ascii="宋体" w:hAnsi="宋体" w:cs="宋体"/>
                <w:b w:val="0"/>
                <w:bCs/>
                <w:sz w:val="21"/>
                <w:lang w:val="en-US" w:eastAsia="zh-CN"/>
              </w:rPr>
              <w:t>政务信息系统运维</w:t>
            </w:r>
            <w:r>
              <w:rPr>
                <w:rFonts w:hint="eastAsia" w:ascii="宋体" w:hAnsi="宋体" w:cs="宋体"/>
                <w:b w:val="0"/>
                <w:bCs/>
                <w:sz w:val="21"/>
              </w:rPr>
              <w:t>项目业绩进行评审。</w:t>
            </w:r>
          </w:p>
          <w:p>
            <w:pPr>
              <w:wordWrap w:val="0"/>
              <w:spacing w:line="360" w:lineRule="exact"/>
              <w:rPr>
                <w:rFonts w:hint="eastAsia" w:ascii="宋体" w:hAnsi="宋体" w:eastAsia="宋体" w:cs="宋体"/>
                <w:b w:val="0"/>
                <w:bCs/>
                <w:sz w:val="21"/>
                <w:szCs w:val="21"/>
                <w:highlight w:val="none"/>
              </w:rPr>
            </w:pPr>
            <w:r>
              <w:rPr>
                <w:rFonts w:hint="eastAsia" w:ascii="宋体" w:hAnsi="宋体" w:cs="宋体"/>
                <w:b w:val="0"/>
                <w:bCs/>
                <w:sz w:val="21"/>
              </w:rPr>
              <w:t>响应供应商须提供类似项目的合同扫描件，合同扫描件中须体现合同的签约主体、项目名称及内容、合同金额、服务日期等合同要素的相关内容，否则不算有效的类似项目业绩。有一个有效业绩得</w:t>
            </w:r>
            <w:r>
              <w:rPr>
                <w:rFonts w:hint="eastAsia" w:ascii="宋体" w:hAnsi="宋体" w:cs="宋体"/>
                <w:b w:val="0"/>
                <w:bCs/>
                <w:sz w:val="21"/>
                <w:lang w:val="en-US" w:eastAsia="zh-CN"/>
              </w:rPr>
              <w:t>0.5</w:t>
            </w:r>
            <w:r>
              <w:rPr>
                <w:rFonts w:hint="eastAsia" w:ascii="宋体" w:hAnsi="宋体" w:cs="宋体"/>
                <w:b w:val="0"/>
                <w:bCs/>
                <w:sz w:val="21"/>
              </w:rPr>
              <w:t>分，最高得分为</w:t>
            </w:r>
            <w:r>
              <w:rPr>
                <w:rFonts w:hint="eastAsia" w:ascii="宋体" w:hAnsi="宋体" w:cs="宋体"/>
                <w:b w:val="0"/>
                <w:bCs/>
                <w:sz w:val="21"/>
                <w:lang w:val="en-US" w:eastAsia="zh-CN"/>
              </w:rPr>
              <w:t>2</w:t>
            </w:r>
            <w:r>
              <w:rPr>
                <w:rFonts w:hint="eastAsia" w:ascii="宋体" w:hAnsi="宋体" w:cs="宋体"/>
                <w:b w:val="0"/>
                <w:bCs/>
                <w:sz w:val="21"/>
              </w:rPr>
              <w:t>分，没有有效的类似项目业绩的得0分。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pct"/>
            <w:tcBorders>
              <w:top w:val="single" w:color="auto" w:sz="4" w:space="0"/>
              <w:left w:val="single" w:color="auto" w:sz="4" w:space="0"/>
              <w:right w:val="single" w:color="auto" w:sz="4" w:space="0"/>
            </w:tcBorders>
            <w:noWrap w:val="0"/>
            <w:vAlign w:val="center"/>
          </w:tcPr>
          <w:p>
            <w:pPr>
              <w:wordWrap w:val="0"/>
              <w:jc w:val="center"/>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8</w:t>
            </w:r>
          </w:p>
        </w:tc>
        <w:tc>
          <w:tcPr>
            <w:tcW w:w="636" w:type="pct"/>
            <w:tcBorders>
              <w:top w:val="single" w:color="auto" w:sz="4" w:space="0"/>
              <w:left w:val="single" w:color="auto" w:sz="4" w:space="0"/>
              <w:right w:val="single" w:color="auto" w:sz="4" w:space="0"/>
            </w:tcBorders>
            <w:noWrap w:val="0"/>
            <w:vAlign w:val="center"/>
          </w:tcPr>
          <w:p>
            <w:pPr>
              <w:wordWrap w:val="0"/>
              <w:jc w:val="center"/>
              <w:rPr>
                <w:rFonts w:hint="eastAsia" w:ascii="宋体" w:hAnsi="宋体" w:eastAsia="宋体" w:cs="宋体"/>
                <w:b/>
                <w:sz w:val="21"/>
                <w:szCs w:val="21"/>
              </w:rPr>
            </w:pPr>
            <w:r>
              <w:rPr>
                <w:rFonts w:hint="eastAsia" w:ascii="宋体" w:hAnsi="宋体" w:eastAsia="宋体" w:cs="宋体"/>
                <w:b/>
                <w:sz w:val="21"/>
                <w:szCs w:val="21"/>
              </w:rPr>
              <w:t>综合实力</w:t>
            </w:r>
          </w:p>
        </w:tc>
        <w:tc>
          <w:tcPr>
            <w:tcW w:w="890" w:type="pct"/>
            <w:tcBorders>
              <w:top w:val="single" w:color="auto" w:sz="4" w:space="0"/>
              <w:left w:val="single" w:color="auto" w:sz="4" w:space="0"/>
              <w:bottom w:val="single" w:color="auto" w:sz="4" w:space="0"/>
              <w:right w:val="single" w:color="auto" w:sz="4" w:space="0"/>
            </w:tcBorders>
            <w:noWrap w:val="0"/>
            <w:vAlign w:val="center"/>
          </w:tcPr>
          <w:p>
            <w:pPr>
              <w:wordWrap w:val="0"/>
              <w:jc w:val="center"/>
              <w:rPr>
                <w:rFonts w:hint="eastAsia" w:ascii="宋体" w:hAnsi="宋体" w:eastAsia="宋体" w:cs="宋体"/>
                <w:b/>
                <w:bCs w:val="0"/>
                <w:kern w:val="2"/>
                <w:sz w:val="21"/>
                <w:szCs w:val="21"/>
                <w:highlight w:val="none"/>
                <w:lang w:val="en-US" w:eastAsia="zh-CN" w:bidi="ar-SA"/>
              </w:rPr>
            </w:pPr>
            <w:r>
              <w:rPr>
                <w:rFonts w:hint="eastAsia" w:ascii="宋体" w:hAnsi="宋体" w:eastAsia="宋体" w:cs="宋体"/>
                <w:b/>
                <w:bCs w:val="0"/>
                <w:sz w:val="21"/>
                <w:szCs w:val="21"/>
                <w:highlight w:val="none"/>
              </w:rPr>
              <w:t>综合实力</w:t>
            </w:r>
          </w:p>
        </w:tc>
        <w:tc>
          <w:tcPr>
            <w:tcW w:w="396" w:type="pct"/>
            <w:tcBorders>
              <w:top w:val="single" w:color="auto" w:sz="4" w:space="0"/>
              <w:left w:val="single" w:color="auto" w:sz="4" w:space="0"/>
              <w:bottom w:val="single" w:color="auto" w:sz="4" w:space="0"/>
              <w:right w:val="single" w:color="auto" w:sz="4" w:space="0"/>
            </w:tcBorders>
            <w:noWrap w:val="0"/>
            <w:vAlign w:val="center"/>
          </w:tcPr>
          <w:p>
            <w:pPr>
              <w:wordWrap w:val="0"/>
              <w:jc w:val="center"/>
              <w:rPr>
                <w:rFonts w:hint="eastAsia" w:ascii="宋体" w:hAnsi="宋体" w:eastAsia="宋体" w:cs="宋体"/>
                <w:b/>
                <w:kern w:val="2"/>
                <w:sz w:val="21"/>
                <w:szCs w:val="21"/>
                <w:highlight w:val="none"/>
                <w:lang w:val="en-US" w:eastAsia="zh-CN" w:bidi="ar-SA"/>
              </w:rPr>
            </w:pPr>
            <w:r>
              <w:rPr>
                <w:rFonts w:hint="eastAsia" w:ascii="宋体" w:hAnsi="宋体" w:eastAsia="宋体" w:cs="宋体"/>
                <w:b/>
                <w:sz w:val="21"/>
                <w:szCs w:val="21"/>
                <w:highlight w:val="none"/>
              </w:rPr>
              <w:t>0-</w:t>
            </w:r>
            <w:r>
              <w:rPr>
                <w:rFonts w:hint="eastAsia" w:ascii="宋体" w:hAnsi="宋体" w:cs="宋体"/>
                <w:b/>
                <w:sz w:val="21"/>
                <w:szCs w:val="21"/>
                <w:highlight w:val="none"/>
                <w:lang w:val="en-US" w:eastAsia="zh-CN"/>
              </w:rPr>
              <w:t>2</w:t>
            </w:r>
          </w:p>
        </w:tc>
        <w:tc>
          <w:tcPr>
            <w:tcW w:w="510" w:type="pct"/>
            <w:tcBorders>
              <w:top w:val="single" w:color="auto" w:sz="4" w:space="0"/>
              <w:left w:val="single" w:color="auto" w:sz="4" w:space="0"/>
              <w:bottom w:val="single" w:color="auto" w:sz="4" w:space="0"/>
              <w:right w:val="single" w:color="auto" w:sz="4" w:space="0"/>
            </w:tcBorders>
            <w:noWrap w:val="0"/>
            <w:vAlign w:val="center"/>
          </w:tcPr>
          <w:p>
            <w:pPr>
              <w:wordWrap w:val="0"/>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rPr>
              <w:t>客观分</w:t>
            </w:r>
          </w:p>
        </w:tc>
        <w:tc>
          <w:tcPr>
            <w:tcW w:w="21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autoSpaceDE/>
              <w:autoSpaceDN/>
              <w:bidi w:val="0"/>
              <w:adjustRightInd/>
              <w:snapToGrid/>
              <w:spacing w:line="240" w:lineRule="auto"/>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sz w:val="21"/>
                <w:szCs w:val="21"/>
                <w:highlight w:val="none"/>
                <w:lang w:val="en-US" w:eastAsia="zh-CN"/>
              </w:rPr>
              <w:t>具有GB/T 19001-2016/ISO 9001:2015质量管理体系认证证书的得</w:t>
            </w:r>
            <w:r>
              <w:rPr>
                <w:rFonts w:hint="eastAsia" w:ascii="宋体" w:hAnsi="宋体" w:cs="宋体"/>
                <w:b w:val="0"/>
                <w:bCs/>
                <w:sz w:val="21"/>
                <w:szCs w:val="21"/>
                <w:highlight w:val="none"/>
                <w:lang w:val="en-US" w:eastAsia="zh-CN"/>
              </w:rPr>
              <w:t>2</w:t>
            </w:r>
            <w:r>
              <w:rPr>
                <w:rFonts w:hint="eastAsia" w:ascii="宋体" w:hAnsi="宋体" w:eastAsia="宋体" w:cs="宋体"/>
                <w:b w:val="0"/>
                <w:bCs/>
                <w:sz w:val="21"/>
                <w:szCs w:val="21"/>
                <w:highlight w:val="none"/>
                <w:lang w:val="en-US" w:eastAsia="zh-CN"/>
              </w:rPr>
              <w:t>分</w:t>
            </w:r>
            <w:r>
              <w:rPr>
                <w:rFonts w:hint="eastAsia" w:ascii="宋体" w:hAnsi="宋体" w:eastAsia="宋体" w:cs="宋体"/>
                <w:b w:val="0"/>
                <w:bCs/>
                <w:sz w:val="21"/>
                <w:szCs w:val="21"/>
                <w:highlight w:val="none"/>
              </w:rPr>
              <w:t>。</w:t>
            </w:r>
          </w:p>
        </w:tc>
      </w:tr>
    </w:tbl>
    <w:p>
      <w:pPr>
        <w:spacing w:line="360" w:lineRule="auto"/>
        <w:ind w:left="416" w:hanging="416"/>
        <w:rPr>
          <w:rFonts w:hint="eastAsia" w:ascii="宋体" w:hAnsi="宋体"/>
          <w:sz w:val="21"/>
          <w:highlight w:val="none"/>
        </w:rPr>
      </w:pPr>
    </w:p>
    <w:p>
      <w:pPr>
        <w:spacing w:line="360" w:lineRule="auto"/>
        <w:ind w:left="416" w:hanging="416"/>
        <w:rPr>
          <w:rFonts w:ascii="宋体" w:hAnsi="宋体"/>
          <w:sz w:val="21"/>
          <w:highlight w:val="none"/>
        </w:rPr>
      </w:pPr>
      <w:r>
        <w:rPr>
          <w:rFonts w:hint="eastAsia" w:ascii="宋体" w:hAnsi="宋体"/>
          <w:sz w:val="21"/>
          <w:highlight w:val="none"/>
        </w:rPr>
        <w:t>附：1. 上述计算结果四舍五入后保留2位有效小数。</w:t>
      </w:r>
    </w:p>
    <w:p>
      <w:pPr>
        <w:spacing w:line="360" w:lineRule="auto"/>
        <w:ind w:left="416"/>
        <w:rPr>
          <w:rFonts w:ascii="宋体" w:hAnsi="宋体"/>
          <w:sz w:val="21"/>
          <w:highlight w:val="none"/>
        </w:rPr>
      </w:pPr>
      <w:r>
        <w:rPr>
          <w:rFonts w:hint="eastAsia" w:ascii="宋体" w:hAnsi="宋体"/>
          <w:sz w:val="21"/>
          <w:highlight w:val="none"/>
        </w:rPr>
        <w:t>2. 最低报价不是被授予合同的保证。</w:t>
      </w:r>
    </w:p>
    <w:p>
      <w:pPr>
        <w:spacing w:line="360" w:lineRule="auto"/>
        <w:ind w:left="416" w:hanging="416"/>
        <w:rPr>
          <w:rFonts w:ascii="宋体" w:hAnsi="宋体"/>
          <w:sz w:val="21"/>
          <w:highlight w:val="none"/>
        </w:rPr>
      </w:pPr>
    </w:p>
    <w:p>
      <w:pPr>
        <w:numPr>
          <w:ilvl w:val="0"/>
          <w:numId w:val="7"/>
        </w:numPr>
        <w:adjustRightInd w:val="0"/>
        <w:snapToGrid w:val="0"/>
        <w:spacing w:line="360" w:lineRule="auto"/>
        <w:ind w:left="357" w:hanging="357"/>
        <w:rPr>
          <w:rFonts w:ascii="宋体" w:hAnsi="宋体"/>
          <w:sz w:val="21"/>
          <w:highlight w:val="none"/>
        </w:rPr>
      </w:pPr>
      <w:r>
        <w:rPr>
          <w:rFonts w:hint="eastAsia" w:ascii="宋体" w:hAnsi="宋体"/>
          <w:sz w:val="21"/>
          <w:highlight w:val="none"/>
        </w:rPr>
        <w:t>保密</w:t>
      </w:r>
    </w:p>
    <w:p>
      <w:pPr>
        <w:adjustRightInd w:val="0"/>
        <w:snapToGrid w:val="0"/>
        <w:spacing w:line="360" w:lineRule="auto"/>
        <w:ind w:left="416" w:hanging="416"/>
        <w:rPr>
          <w:rFonts w:ascii="宋体" w:hAnsi="宋体"/>
          <w:kern w:val="0"/>
          <w:sz w:val="21"/>
          <w:highlight w:val="none"/>
        </w:rPr>
      </w:pPr>
      <w:r>
        <w:rPr>
          <w:rFonts w:hint="eastAsia" w:ascii="宋体" w:hAnsi="宋体"/>
          <w:kern w:val="0"/>
          <w:sz w:val="21"/>
          <w:highlight w:val="none"/>
        </w:rPr>
        <w:t>29.1有关磋商响应文件的审查、澄清、评估和比较以及有关授予合同的意向的一切情况都不得透露给任一响应供应商或与上述评判工作无关人员。</w:t>
      </w:r>
    </w:p>
    <w:p>
      <w:pPr>
        <w:adjustRightInd w:val="0"/>
        <w:snapToGrid w:val="0"/>
        <w:spacing w:line="360" w:lineRule="auto"/>
        <w:ind w:left="416" w:hanging="416"/>
        <w:rPr>
          <w:rFonts w:ascii="宋体" w:hAnsi="宋体"/>
          <w:sz w:val="21"/>
          <w:highlight w:val="none"/>
        </w:rPr>
      </w:pPr>
      <w:r>
        <w:rPr>
          <w:rFonts w:hint="eastAsia" w:ascii="宋体" w:hAnsi="宋体"/>
          <w:sz w:val="21"/>
          <w:highlight w:val="none"/>
        </w:rPr>
        <w:t>29.2响应供应商不得干扰评标活动，否则将废除其响应磋商。</w:t>
      </w:r>
    </w:p>
    <w:p>
      <w:pPr>
        <w:adjustRightInd w:val="0"/>
        <w:snapToGrid w:val="0"/>
        <w:spacing w:line="360" w:lineRule="auto"/>
        <w:ind w:left="416" w:hanging="416"/>
        <w:rPr>
          <w:rFonts w:ascii="宋体" w:hAnsi="宋体"/>
          <w:sz w:val="21"/>
          <w:highlight w:val="none"/>
        </w:rPr>
      </w:pPr>
    </w:p>
    <w:p>
      <w:pPr>
        <w:spacing w:line="360" w:lineRule="auto"/>
        <w:outlineLvl w:val="1"/>
        <w:rPr>
          <w:rFonts w:ascii="宋体" w:hAnsi="宋体"/>
          <w:b/>
          <w:bCs/>
          <w:highlight w:val="none"/>
        </w:rPr>
      </w:pPr>
      <w:bookmarkStart w:id="56" w:name="_Toc437613707"/>
      <w:bookmarkStart w:id="57" w:name="_Toc6803"/>
      <w:bookmarkStart w:id="58" w:name="_Toc25038"/>
      <w:r>
        <w:rPr>
          <w:rFonts w:hint="eastAsia" w:ascii="宋体" w:hAnsi="宋体"/>
          <w:b/>
          <w:bCs/>
          <w:highlight w:val="none"/>
        </w:rPr>
        <w:t>六、授予合同</w:t>
      </w:r>
      <w:bookmarkEnd w:id="56"/>
      <w:bookmarkEnd w:id="57"/>
      <w:bookmarkEnd w:id="58"/>
    </w:p>
    <w:p>
      <w:pPr>
        <w:numPr>
          <w:ilvl w:val="0"/>
          <w:numId w:val="7"/>
        </w:numPr>
        <w:adjustRightInd w:val="0"/>
        <w:snapToGrid w:val="0"/>
        <w:spacing w:line="360" w:lineRule="auto"/>
        <w:ind w:left="357" w:hanging="357"/>
        <w:rPr>
          <w:rFonts w:ascii="宋体" w:hAnsi="宋体"/>
          <w:sz w:val="21"/>
          <w:highlight w:val="none"/>
        </w:rPr>
      </w:pPr>
      <w:r>
        <w:rPr>
          <w:rFonts w:hint="eastAsia" w:ascii="宋体" w:hAnsi="宋体"/>
          <w:sz w:val="21"/>
          <w:highlight w:val="none"/>
        </w:rPr>
        <w:t>合同授予的准则</w:t>
      </w:r>
    </w:p>
    <w:p>
      <w:pPr>
        <w:spacing w:line="360" w:lineRule="auto"/>
        <w:ind w:left="416" w:hanging="416"/>
        <w:rPr>
          <w:rFonts w:ascii="宋体" w:hAnsi="宋体"/>
          <w:sz w:val="21"/>
          <w:highlight w:val="none"/>
        </w:rPr>
      </w:pPr>
      <w:r>
        <w:rPr>
          <w:rFonts w:hint="eastAsia" w:ascii="宋体" w:hAnsi="宋体"/>
          <w:sz w:val="21"/>
          <w:highlight w:val="none"/>
        </w:rPr>
        <w:t>30.1合同将授予被确定为实质上响应磋商文件要求，能够最大限度地满足磋商文件中规定的各项综合评价标准的响应供应商。</w:t>
      </w:r>
    </w:p>
    <w:p>
      <w:pPr>
        <w:spacing w:line="360" w:lineRule="auto"/>
        <w:ind w:left="416" w:hanging="416"/>
        <w:rPr>
          <w:rFonts w:ascii="宋体" w:hAnsi="宋体"/>
          <w:sz w:val="21"/>
          <w:highlight w:val="none"/>
        </w:rPr>
      </w:pPr>
      <w:r>
        <w:rPr>
          <w:rFonts w:hint="eastAsia" w:ascii="宋体" w:hAnsi="宋体"/>
          <w:sz w:val="21"/>
          <w:highlight w:val="none"/>
        </w:rPr>
        <w:t>30.2最低报价不是被授予合同的保证。</w:t>
      </w:r>
    </w:p>
    <w:p>
      <w:pPr>
        <w:numPr>
          <w:ilvl w:val="0"/>
          <w:numId w:val="7"/>
        </w:numPr>
        <w:adjustRightInd w:val="0"/>
        <w:snapToGrid w:val="0"/>
        <w:spacing w:line="360" w:lineRule="auto"/>
        <w:ind w:left="357" w:hanging="357"/>
        <w:rPr>
          <w:rFonts w:ascii="宋体" w:hAnsi="宋体"/>
          <w:sz w:val="21"/>
          <w:highlight w:val="none"/>
        </w:rPr>
      </w:pPr>
      <w:r>
        <w:rPr>
          <w:rFonts w:hint="eastAsia" w:ascii="宋体" w:hAnsi="宋体"/>
          <w:sz w:val="21"/>
          <w:highlight w:val="none"/>
        </w:rPr>
        <w:t>资格最终审查</w:t>
      </w:r>
    </w:p>
    <w:p>
      <w:pPr>
        <w:spacing w:line="360" w:lineRule="auto"/>
        <w:rPr>
          <w:rFonts w:ascii="宋体" w:hAnsi="宋体"/>
          <w:sz w:val="21"/>
          <w:highlight w:val="none"/>
        </w:rPr>
      </w:pPr>
      <w:r>
        <w:rPr>
          <w:rFonts w:hint="eastAsia" w:ascii="宋体" w:hAnsi="宋体"/>
          <w:sz w:val="21"/>
          <w:highlight w:val="none"/>
        </w:rPr>
        <w:t>31.1磋商小组将审查响应供应商的财务、技术、生产和供货能力及信誉，确定其是否能圆满地履行合同。</w:t>
      </w:r>
    </w:p>
    <w:p>
      <w:pPr>
        <w:numPr>
          <w:ilvl w:val="0"/>
          <w:numId w:val="7"/>
        </w:numPr>
        <w:adjustRightInd w:val="0"/>
        <w:snapToGrid w:val="0"/>
        <w:spacing w:line="360" w:lineRule="auto"/>
        <w:ind w:left="357" w:hanging="357"/>
        <w:rPr>
          <w:rFonts w:ascii="宋体" w:hAnsi="宋体"/>
          <w:sz w:val="21"/>
          <w:highlight w:val="none"/>
        </w:rPr>
      </w:pPr>
      <w:r>
        <w:rPr>
          <w:rFonts w:hint="eastAsia" w:ascii="宋体" w:hAnsi="宋体"/>
          <w:sz w:val="21"/>
          <w:highlight w:val="none"/>
        </w:rPr>
        <w:t>接受和拒绝任何或所有响应的权力</w:t>
      </w:r>
    </w:p>
    <w:p>
      <w:pPr>
        <w:spacing w:line="360" w:lineRule="auto"/>
        <w:ind w:left="405" w:hanging="416"/>
        <w:rPr>
          <w:rFonts w:ascii="宋体" w:hAnsi="宋体"/>
          <w:sz w:val="21"/>
          <w:highlight w:val="none"/>
        </w:rPr>
      </w:pPr>
      <w:r>
        <w:rPr>
          <w:rFonts w:hint="eastAsia" w:ascii="宋体" w:hAnsi="宋体"/>
          <w:sz w:val="21"/>
          <w:highlight w:val="none"/>
        </w:rPr>
        <w:t>32.1</w:t>
      </w:r>
      <w:r>
        <w:rPr>
          <w:rFonts w:hint="eastAsia" w:ascii="宋体" w:hAnsi="宋体" w:cs="宋体"/>
          <w:snapToGrid w:val="0"/>
          <w:kern w:val="0"/>
          <w:sz w:val="21"/>
          <w:highlight w:val="none"/>
        </w:rPr>
        <w:t>在采购活动中因重大变故，采购任务取消的，采购人或者采购代理机构应当终止采购活动，通知所有参加采购活动的供应商，并将项目实施情况和采购任务取消原因报送本级财政部门。</w:t>
      </w:r>
    </w:p>
    <w:p>
      <w:pPr>
        <w:numPr>
          <w:ilvl w:val="0"/>
          <w:numId w:val="7"/>
        </w:numPr>
        <w:adjustRightInd w:val="0"/>
        <w:snapToGrid w:val="0"/>
        <w:spacing w:line="360" w:lineRule="auto"/>
        <w:ind w:left="357" w:hanging="357"/>
        <w:rPr>
          <w:rFonts w:ascii="宋体" w:hAnsi="宋体"/>
          <w:sz w:val="21"/>
          <w:highlight w:val="none"/>
        </w:rPr>
      </w:pPr>
      <w:r>
        <w:rPr>
          <w:rFonts w:hint="eastAsia" w:ascii="宋体" w:hAnsi="宋体"/>
          <w:sz w:val="21"/>
          <w:highlight w:val="none"/>
        </w:rPr>
        <w:t>成交通知</w:t>
      </w:r>
    </w:p>
    <w:p>
      <w:pPr>
        <w:spacing w:line="360" w:lineRule="auto"/>
        <w:ind w:left="416" w:hanging="416"/>
        <w:rPr>
          <w:rFonts w:ascii="宋体" w:hAnsi="宋体"/>
          <w:sz w:val="21"/>
          <w:highlight w:val="none"/>
        </w:rPr>
      </w:pPr>
      <w:r>
        <w:rPr>
          <w:rFonts w:hint="eastAsia" w:ascii="宋体" w:hAnsi="宋体"/>
          <w:sz w:val="21"/>
          <w:highlight w:val="none"/>
        </w:rPr>
        <w:t>33.1成交（未成交）通知书将与成交公告一同发出。《成交通知书》一经发出即发生法律效力。</w:t>
      </w:r>
    </w:p>
    <w:p>
      <w:pPr>
        <w:spacing w:line="360" w:lineRule="auto"/>
        <w:ind w:left="416" w:hanging="416"/>
        <w:rPr>
          <w:rFonts w:ascii="宋体" w:hAnsi="宋体"/>
          <w:sz w:val="21"/>
          <w:highlight w:val="none"/>
        </w:rPr>
      </w:pPr>
      <w:r>
        <w:rPr>
          <w:rFonts w:hint="eastAsia" w:ascii="宋体" w:hAnsi="宋体"/>
          <w:sz w:val="21"/>
          <w:highlight w:val="none"/>
        </w:rPr>
        <w:t>33.2采购代理机构在发出《成交通知书》的同时，向未成交的供应商发出《未成交通知书》。</w:t>
      </w:r>
    </w:p>
    <w:p>
      <w:pPr>
        <w:spacing w:line="360" w:lineRule="auto"/>
        <w:ind w:left="416" w:hanging="416"/>
        <w:rPr>
          <w:rFonts w:ascii="宋体" w:hAnsi="宋体"/>
          <w:sz w:val="21"/>
          <w:highlight w:val="none"/>
        </w:rPr>
      </w:pPr>
      <w:r>
        <w:rPr>
          <w:rFonts w:hint="eastAsia" w:ascii="宋体" w:hAnsi="宋体"/>
          <w:sz w:val="21"/>
          <w:highlight w:val="none"/>
        </w:rPr>
        <w:t>33.3《成交通知书》将作为签订合同的依据。</w:t>
      </w:r>
    </w:p>
    <w:p>
      <w:pPr>
        <w:numPr>
          <w:ilvl w:val="0"/>
          <w:numId w:val="7"/>
        </w:numPr>
        <w:adjustRightInd w:val="0"/>
        <w:snapToGrid w:val="0"/>
        <w:spacing w:line="360" w:lineRule="auto"/>
        <w:ind w:left="357" w:hanging="357"/>
        <w:rPr>
          <w:rFonts w:ascii="宋体" w:hAnsi="宋体"/>
          <w:sz w:val="21"/>
          <w:highlight w:val="none"/>
        </w:rPr>
      </w:pPr>
      <w:r>
        <w:rPr>
          <w:rFonts w:hint="eastAsia" w:ascii="宋体" w:hAnsi="宋体"/>
          <w:sz w:val="21"/>
          <w:highlight w:val="none"/>
        </w:rPr>
        <w:t>签订合同</w:t>
      </w:r>
    </w:p>
    <w:p>
      <w:pPr>
        <w:spacing w:line="360" w:lineRule="auto"/>
        <w:rPr>
          <w:rFonts w:ascii="宋体" w:hAnsi="宋体"/>
          <w:sz w:val="21"/>
          <w:highlight w:val="none"/>
        </w:rPr>
      </w:pPr>
      <w:r>
        <w:rPr>
          <w:rFonts w:hint="eastAsia" w:ascii="宋体" w:hAnsi="宋体"/>
          <w:sz w:val="21"/>
          <w:highlight w:val="none"/>
        </w:rPr>
        <w:t>34.1成交供应商按《成交通知书》指定的时间、地点与业主签订合同。</w:t>
      </w:r>
    </w:p>
    <w:p>
      <w:pPr>
        <w:spacing w:line="360" w:lineRule="auto"/>
        <w:rPr>
          <w:rFonts w:ascii="宋体" w:hAnsi="宋体"/>
          <w:sz w:val="21"/>
          <w:highlight w:val="none"/>
        </w:rPr>
      </w:pPr>
      <w:r>
        <w:rPr>
          <w:rFonts w:hint="eastAsia" w:ascii="宋体" w:hAnsi="宋体"/>
          <w:sz w:val="21"/>
          <w:highlight w:val="none"/>
        </w:rPr>
        <w:t>34.2磋商文件、成交供应商的响应文件及其澄清文件等，均为签订经济合同的依据。</w:t>
      </w:r>
    </w:p>
    <w:p>
      <w:pPr>
        <w:numPr>
          <w:ilvl w:val="0"/>
          <w:numId w:val="7"/>
        </w:numPr>
        <w:adjustRightInd w:val="0"/>
        <w:snapToGrid w:val="0"/>
        <w:spacing w:line="360" w:lineRule="auto"/>
        <w:ind w:left="357" w:hanging="357"/>
        <w:rPr>
          <w:rFonts w:ascii="宋体" w:hAnsi="宋体"/>
          <w:sz w:val="21"/>
          <w:highlight w:val="none"/>
        </w:rPr>
      </w:pPr>
      <w:r>
        <w:rPr>
          <w:rFonts w:hint="eastAsia" w:ascii="宋体" w:hAnsi="宋体"/>
          <w:sz w:val="21"/>
          <w:highlight w:val="none"/>
        </w:rPr>
        <w:t>咨询服务</w:t>
      </w:r>
    </w:p>
    <w:p>
      <w:pPr>
        <w:tabs>
          <w:tab w:val="left" w:pos="855"/>
        </w:tabs>
        <w:adjustRightInd w:val="0"/>
        <w:snapToGrid w:val="0"/>
        <w:spacing w:line="360" w:lineRule="auto"/>
        <w:ind w:left="420" w:hanging="420" w:hangingChars="200"/>
        <w:rPr>
          <w:rFonts w:hint="eastAsia" w:ascii="宋体" w:hAnsi="宋体" w:cs="Times New Roman"/>
          <w:sz w:val="21"/>
          <w:highlight w:val="none"/>
          <w:lang w:eastAsia="zh-CN"/>
        </w:rPr>
      </w:pPr>
      <w:r>
        <w:rPr>
          <w:rFonts w:hint="eastAsia" w:ascii="宋体" w:hAnsi="宋体" w:cs="Times New Roman"/>
          <w:sz w:val="21"/>
          <w:highlight w:val="none"/>
        </w:rPr>
        <w:t>35.1 采购代理服务费收费标准：</w:t>
      </w:r>
      <w:r>
        <w:rPr>
          <w:rFonts w:hint="eastAsia" w:ascii="宋体" w:hAnsi="宋体" w:cs="Times New Roman"/>
          <w:sz w:val="21"/>
          <w:highlight w:val="none"/>
          <w:lang w:eastAsia="zh-CN"/>
        </w:rPr>
        <w:t>人民币7000元，由成交供应商在接受成交通知书时向采购代理机构一次性支付。</w:t>
      </w:r>
    </w:p>
    <w:p>
      <w:pPr>
        <w:tabs>
          <w:tab w:val="left" w:pos="855"/>
        </w:tabs>
        <w:adjustRightInd w:val="0"/>
        <w:snapToGrid w:val="0"/>
        <w:spacing w:line="360" w:lineRule="auto"/>
        <w:ind w:left="420" w:hanging="420" w:hangingChars="200"/>
        <w:rPr>
          <w:rFonts w:hint="eastAsia" w:ascii="宋体" w:hAnsi="宋体" w:cs="Times New Roman"/>
          <w:sz w:val="21"/>
          <w:highlight w:val="none"/>
        </w:rPr>
      </w:pPr>
      <w:r>
        <w:rPr>
          <w:rFonts w:hint="eastAsia" w:ascii="宋体" w:hAnsi="宋体" w:cs="Times New Roman"/>
          <w:sz w:val="21"/>
          <w:highlight w:val="none"/>
        </w:rPr>
        <w:t>35.2 咨询服务费的缴纳方式：可用支票、汇票、电汇、现金付款方式。</w:t>
      </w:r>
    </w:p>
    <w:p>
      <w:pPr>
        <w:tabs>
          <w:tab w:val="left" w:pos="855"/>
        </w:tabs>
        <w:adjustRightInd w:val="0"/>
        <w:snapToGrid w:val="0"/>
        <w:spacing w:line="360" w:lineRule="auto"/>
        <w:ind w:left="420" w:hanging="420" w:hangingChars="200"/>
        <w:rPr>
          <w:rFonts w:hint="eastAsia" w:ascii="宋体" w:hAnsi="宋体" w:cs="Times New Roman"/>
          <w:sz w:val="21"/>
          <w:highlight w:val="none"/>
        </w:rPr>
      </w:pPr>
      <w:r>
        <w:rPr>
          <w:rFonts w:hint="eastAsia" w:ascii="宋体" w:hAnsi="宋体" w:cs="Times New Roman"/>
          <w:sz w:val="21"/>
          <w:highlight w:val="none"/>
        </w:rPr>
        <w:t>35.3采购代理服务费的交纳凭证（已支付采购代理服务费通知）或将作为采购人对供应商支付第一笔经费的依据。</w:t>
      </w:r>
    </w:p>
    <w:p>
      <w:pPr>
        <w:adjustRightInd w:val="0"/>
        <w:snapToGrid w:val="0"/>
        <w:spacing w:line="360" w:lineRule="auto"/>
        <w:rPr>
          <w:rFonts w:ascii="宋体" w:hAnsi="宋体"/>
          <w:b/>
          <w:sz w:val="32"/>
          <w:highlight w:val="none"/>
        </w:rPr>
      </w:pPr>
      <w:r>
        <w:rPr>
          <w:rFonts w:ascii="宋体" w:hAnsi="宋体"/>
          <w:highlight w:val="none"/>
        </w:rPr>
        <w:br w:type="page"/>
      </w:r>
    </w:p>
    <w:p>
      <w:pPr>
        <w:numPr>
          <w:ilvl w:val="0"/>
          <w:numId w:val="5"/>
        </w:numPr>
        <w:adjustRightInd w:val="0"/>
        <w:snapToGrid w:val="0"/>
        <w:spacing w:line="360" w:lineRule="auto"/>
        <w:jc w:val="center"/>
        <w:outlineLvl w:val="0"/>
        <w:rPr>
          <w:rFonts w:ascii="宋体" w:hAnsi="宋体"/>
          <w:b/>
          <w:spacing w:val="28"/>
          <w:sz w:val="32"/>
          <w:szCs w:val="22"/>
          <w:highlight w:val="none"/>
        </w:rPr>
      </w:pPr>
      <w:bookmarkStart w:id="59" w:name="_Toc30635"/>
      <w:r>
        <w:rPr>
          <w:rFonts w:hint="eastAsia" w:ascii="宋体" w:hAnsi="宋体"/>
          <w:b/>
          <w:spacing w:val="28"/>
          <w:sz w:val="32"/>
          <w:szCs w:val="22"/>
          <w:highlight w:val="none"/>
        </w:rPr>
        <w:t>合同条款</w:t>
      </w:r>
      <w:bookmarkEnd w:id="1"/>
      <w:bookmarkEnd w:id="59"/>
      <w:r>
        <w:rPr>
          <w:rFonts w:hint="eastAsia" w:ascii="宋体" w:hAnsi="宋体"/>
          <w:b/>
          <w:spacing w:val="28"/>
          <w:sz w:val="32"/>
          <w:szCs w:val="22"/>
          <w:highlight w:val="none"/>
          <w:lang w:eastAsia="zh-CN"/>
        </w:rPr>
        <w:t>（</w:t>
      </w:r>
      <w:r>
        <w:rPr>
          <w:rFonts w:hint="eastAsia" w:ascii="宋体" w:hAnsi="宋体"/>
          <w:b/>
          <w:spacing w:val="28"/>
          <w:sz w:val="32"/>
          <w:szCs w:val="22"/>
          <w:highlight w:val="none"/>
          <w:lang w:val="en-US" w:eastAsia="zh-CN"/>
        </w:rPr>
        <w:t>仅供参考</w:t>
      </w:r>
      <w:r>
        <w:rPr>
          <w:rFonts w:hint="eastAsia" w:ascii="宋体" w:hAnsi="宋体"/>
          <w:b/>
          <w:spacing w:val="28"/>
          <w:sz w:val="32"/>
          <w:szCs w:val="22"/>
          <w:highlight w:val="none"/>
          <w:lang w:eastAsia="zh-CN"/>
        </w:rPr>
        <w:t>）</w:t>
      </w:r>
    </w:p>
    <w:p>
      <w:pPr>
        <w:spacing w:line="360" w:lineRule="auto"/>
        <w:ind w:firstLine="560" w:firstLineChars="200"/>
        <w:rPr>
          <w:rFonts w:hint="eastAsia" w:ascii="宋体" w:hAnsi="宋体" w:cs="仿宋"/>
          <w:color w:val="auto"/>
          <w:sz w:val="28"/>
          <w:szCs w:val="28"/>
          <w:highlight w:val="none"/>
          <w:u w:val="none"/>
        </w:rPr>
      </w:pPr>
    </w:p>
    <w:p>
      <w:pPr>
        <w:widowControl w:val="0"/>
        <w:spacing w:before="0" w:beforeAutospacing="0" w:after="0" w:afterAutospacing="0"/>
        <w:jc w:val="both"/>
        <w:rPr>
          <w:rFonts w:ascii="宋体" w:hAnsi="宋体" w:eastAsia="宋体" w:cs="宋体"/>
          <w:kern w:val="2"/>
          <w:sz w:val="21"/>
          <w:szCs w:val="21"/>
          <w:lang w:val="en-US" w:eastAsia="zh-CN" w:bidi="ar-SA"/>
        </w:rPr>
      </w:pPr>
      <w:r>
        <w:rPr>
          <w:rFonts w:hint="eastAsia" w:ascii="宋体" w:hAnsi="宋体" w:eastAsia="宋体" w:cs="宋体"/>
          <w:kern w:val="36"/>
          <w:sz w:val="21"/>
          <w:szCs w:val="21"/>
          <w:lang w:val="en-US" w:eastAsia="zh-CN" w:bidi="ar-SA"/>
        </w:rPr>
        <w:t>合同各方：</w:t>
      </w:r>
    </w:p>
    <w:p>
      <w:pPr>
        <w:widowControl w:val="0"/>
        <w:spacing w:before="0" w:beforeAutospacing="0" w:after="0" w:afterAutospacing="0"/>
        <w:jc w:val="both"/>
        <w:rPr>
          <w:rFonts w:hint="eastAsia" w:ascii="宋体" w:hAnsi="宋体" w:eastAsia="宋体" w:cs="宋体"/>
          <w:kern w:val="36"/>
          <w:sz w:val="21"/>
          <w:szCs w:val="21"/>
          <w:lang w:val="en-US" w:eastAsia="zh-CN" w:bidi="ar-SA"/>
        </w:rPr>
      </w:pPr>
      <w:r>
        <w:rPr>
          <w:rFonts w:hint="eastAsia" w:ascii="宋体" w:hAnsi="宋体" w:eastAsia="宋体" w:cs="宋体"/>
          <w:kern w:val="36"/>
          <w:sz w:val="21"/>
          <w:szCs w:val="21"/>
          <w:lang w:val="en-US" w:eastAsia="zh-CN" w:bidi="ar-SA"/>
        </w:rPr>
        <w:t>甲方：</w:t>
      </w:r>
    </w:p>
    <w:p>
      <w:pPr>
        <w:widowControl w:val="0"/>
        <w:spacing w:before="0" w:beforeAutospacing="0" w:after="0" w:afterAutospacing="0"/>
        <w:jc w:val="both"/>
        <w:rPr>
          <w:rFonts w:hint="eastAsia" w:ascii="宋体" w:hAnsi="宋体" w:eastAsia="宋体" w:cs="宋体"/>
          <w:kern w:val="36"/>
          <w:sz w:val="21"/>
          <w:szCs w:val="21"/>
          <w:lang w:val="en-US" w:eastAsia="zh-CN" w:bidi="ar-SA"/>
        </w:rPr>
      </w:pPr>
      <w:r>
        <w:rPr>
          <w:rFonts w:hint="eastAsia" w:ascii="宋体" w:hAnsi="宋体" w:eastAsia="宋体" w:cs="宋体"/>
          <w:kern w:val="36"/>
          <w:sz w:val="21"/>
          <w:szCs w:val="21"/>
          <w:lang w:val="en-US" w:eastAsia="zh-CN" w:bidi="ar-SA"/>
        </w:rPr>
        <w:t>地址：</w:t>
      </w:r>
    </w:p>
    <w:p>
      <w:pPr>
        <w:widowControl w:val="0"/>
        <w:spacing w:before="0" w:beforeAutospacing="0" w:after="0" w:afterAutospacing="0"/>
        <w:jc w:val="both"/>
        <w:rPr>
          <w:rFonts w:hint="eastAsia" w:ascii="宋体" w:hAnsi="宋体" w:eastAsia="宋体" w:cs="宋体"/>
          <w:kern w:val="36"/>
          <w:sz w:val="21"/>
          <w:szCs w:val="21"/>
          <w:lang w:val="en-US" w:eastAsia="zh-CN" w:bidi="ar-SA"/>
        </w:rPr>
      </w:pPr>
      <w:r>
        <w:rPr>
          <w:rFonts w:hint="eastAsia" w:ascii="宋体" w:hAnsi="宋体" w:eastAsia="宋体" w:cs="宋体"/>
          <w:kern w:val="36"/>
          <w:sz w:val="21"/>
          <w:szCs w:val="21"/>
          <w:lang w:val="en-US" w:eastAsia="zh-CN" w:bidi="ar-SA"/>
        </w:rPr>
        <w:t>邮政编码：</w:t>
      </w:r>
    </w:p>
    <w:p>
      <w:pPr>
        <w:widowControl w:val="0"/>
        <w:spacing w:before="0" w:beforeAutospacing="0" w:after="0" w:afterAutospacing="0"/>
        <w:jc w:val="both"/>
        <w:rPr>
          <w:rFonts w:hint="eastAsia" w:ascii="宋体" w:hAnsi="宋体" w:eastAsia="宋体" w:cs="宋体"/>
          <w:kern w:val="36"/>
          <w:sz w:val="21"/>
          <w:szCs w:val="21"/>
          <w:lang w:val="en-US" w:eastAsia="zh-CN" w:bidi="ar-SA"/>
        </w:rPr>
      </w:pPr>
      <w:r>
        <w:rPr>
          <w:rFonts w:hint="eastAsia" w:ascii="宋体" w:hAnsi="宋体" w:eastAsia="宋体" w:cs="宋体"/>
          <w:kern w:val="36"/>
          <w:sz w:val="21"/>
          <w:szCs w:val="21"/>
          <w:lang w:val="en-US" w:eastAsia="zh-CN" w:bidi="ar-SA"/>
        </w:rPr>
        <w:t>电话：</w:t>
      </w:r>
    </w:p>
    <w:p>
      <w:pPr>
        <w:widowControl w:val="0"/>
        <w:spacing w:before="0" w:beforeAutospacing="0" w:after="0" w:afterAutospacing="0"/>
        <w:jc w:val="both"/>
        <w:rPr>
          <w:rFonts w:hint="eastAsia" w:ascii="宋体" w:hAnsi="宋体" w:eastAsia="宋体" w:cs="宋体"/>
          <w:kern w:val="36"/>
          <w:sz w:val="21"/>
          <w:szCs w:val="21"/>
          <w:lang w:val="en-US" w:eastAsia="zh-CN" w:bidi="ar-SA"/>
        </w:rPr>
      </w:pPr>
      <w:r>
        <w:rPr>
          <w:rFonts w:hint="eastAsia" w:ascii="宋体" w:hAnsi="宋体" w:eastAsia="宋体" w:cs="宋体"/>
          <w:kern w:val="36"/>
          <w:sz w:val="21"/>
          <w:szCs w:val="21"/>
          <w:lang w:val="en-US" w:eastAsia="zh-CN" w:bidi="ar-SA"/>
        </w:rPr>
        <w:t>传真：</w:t>
      </w:r>
    </w:p>
    <w:p>
      <w:pPr>
        <w:widowControl w:val="0"/>
        <w:spacing w:before="0" w:beforeAutospacing="0" w:after="0" w:afterAutospacing="0"/>
        <w:jc w:val="both"/>
        <w:rPr>
          <w:rFonts w:hint="eastAsia" w:ascii="宋体" w:hAnsi="宋体" w:eastAsia="宋体" w:cs="宋体"/>
          <w:kern w:val="36"/>
          <w:sz w:val="21"/>
          <w:szCs w:val="21"/>
          <w:lang w:val="en-US" w:eastAsia="zh-CN" w:bidi="ar-SA"/>
        </w:rPr>
      </w:pPr>
      <w:r>
        <w:rPr>
          <w:rFonts w:hint="eastAsia" w:ascii="宋体" w:hAnsi="宋体" w:eastAsia="宋体" w:cs="宋体"/>
          <w:kern w:val="36"/>
          <w:sz w:val="21"/>
          <w:szCs w:val="21"/>
          <w:lang w:val="en-US" w:eastAsia="zh-CN" w:bidi="ar-SA"/>
        </w:rPr>
        <w:t>联系人：</w:t>
      </w:r>
    </w:p>
    <w:p>
      <w:pPr>
        <w:widowControl w:val="0"/>
        <w:spacing w:before="0" w:beforeAutospacing="0" w:after="0" w:afterAutospacing="0"/>
        <w:jc w:val="both"/>
        <w:rPr>
          <w:rFonts w:hint="default" w:ascii="宋体" w:hAnsi="宋体" w:eastAsia="宋体" w:cs="宋体"/>
          <w:kern w:val="2"/>
          <w:sz w:val="21"/>
          <w:szCs w:val="21"/>
          <w:lang w:val="en-US" w:eastAsia="zh-CN" w:bidi="ar-SA"/>
        </w:rPr>
      </w:pPr>
    </w:p>
    <w:p>
      <w:pPr>
        <w:widowControl w:val="0"/>
        <w:spacing w:before="0" w:beforeAutospacing="0" w:after="0" w:afterAutospacing="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乙方：</w:t>
      </w:r>
    </w:p>
    <w:p>
      <w:pPr>
        <w:widowControl w:val="0"/>
        <w:spacing w:before="0" w:beforeAutospacing="0" w:after="0" w:afterAutospacing="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地址：</w:t>
      </w:r>
    </w:p>
    <w:p>
      <w:pPr>
        <w:widowControl w:val="0"/>
        <w:spacing w:before="0" w:beforeAutospacing="0" w:after="0" w:afterAutospacing="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邮政编码：</w:t>
      </w:r>
    </w:p>
    <w:p>
      <w:pPr>
        <w:widowControl w:val="0"/>
        <w:spacing w:before="0" w:beforeAutospacing="0" w:after="0" w:afterAutospacing="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电话：</w:t>
      </w:r>
    </w:p>
    <w:p>
      <w:pPr>
        <w:widowControl w:val="0"/>
        <w:spacing w:before="0" w:beforeAutospacing="0" w:after="0" w:afterAutospacing="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传真：</w:t>
      </w:r>
    </w:p>
    <w:p>
      <w:pPr>
        <w:widowControl w:val="0"/>
        <w:spacing w:before="0" w:beforeAutospacing="0" w:after="0" w:afterAutospacing="0"/>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联系人：</w:t>
      </w:r>
    </w:p>
    <w:p>
      <w:pPr>
        <w:adjustRightInd w:val="0"/>
        <w:snapToGrid w:val="0"/>
        <w:spacing w:line="360" w:lineRule="auto"/>
        <w:jc w:val="left"/>
        <w:rPr>
          <w:rFonts w:ascii="宋体" w:hAnsi="宋体" w:eastAsia="宋体"/>
          <w:sz w:val="21"/>
          <w:szCs w:val="21"/>
        </w:rPr>
      </w:pPr>
    </w:p>
    <w:p>
      <w:pPr>
        <w:adjustRightInd w:val="0"/>
        <w:snapToGrid w:val="0"/>
        <w:spacing w:line="360" w:lineRule="auto"/>
        <w:jc w:val="left"/>
        <w:rPr>
          <w:rFonts w:ascii="宋体" w:hAnsi="宋体" w:eastAsia="宋体"/>
          <w:sz w:val="21"/>
          <w:szCs w:val="21"/>
        </w:rPr>
      </w:pPr>
    </w:p>
    <w:p>
      <w:pPr>
        <w:adjustRightInd w:val="0"/>
        <w:snapToGrid w:val="0"/>
        <w:spacing w:line="360" w:lineRule="auto"/>
        <w:jc w:val="left"/>
        <w:rPr>
          <w:rFonts w:hint="eastAsia" w:ascii="宋体" w:hAnsi="宋体" w:eastAsia="宋体"/>
          <w:sz w:val="21"/>
          <w:szCs w:val="21"/>
          <w:lang w:eastAsia="zh-CN"/>
        </w:rPr>
      </w:pPr>
      <w:r>
        <w:rPr>
          <w:rFonts w:hint="eastAsia" w:ascii="宋体" w:hAnsi="宋体" w:eastAsia="宋体"/>
          <w:sz w:val="21"/>
          <w:szCs w:val="21"/>
        </w:rPr>
        <w:t>根据《中华人民共和国</w:t>
      </w:r>
      <w:r>
        <w:rPr>
          <w:rFonts w:hint="eastAsia" w:ascii="宋体" w:hAnsi="宋体" w:eastAsia="宋体"/>
          <w:sz w:val="21"/>
          <w:szCs w:val="21"/>
          <w:lang w:val="en-US" w:eastAsia="zh-CN"/>
        </w:rPr>
        <w:t>民法典</w:t>
      </w:r>
      <w:r>
        <w:rPr>
          <w:rFonts w:hint="eastAsia" w:ascii="宋体" w:hAnsi="宋体" w:eastAsia="宋体"/>
          <w:sz w:val="21"/>
          <w:szCs w:val="21"/>
        </w:rPr>
        <w:t>》之规定，本合同当事人在平等、自愿的基础上，经协商一致，同意按下述条款和条件签署本合同：</w:t>
      </w:r>
    </w:p>
    <w:p>
      <w:pPr>
        <w:adjustRightInd w:val="0"/>
        <w:snapToGrid w:val="0"/>
        <w:spacing w:line="360" w:lineRule="auto"/>
        <w:jc w:val="left"/>
        <w:rPr>
          <w:rFonts w:hint="eastAsia" w:ascii="宋体" w:hAnsi="宋体" w:eastAsia="宋体"/>
          <w:b/>
          <w:bCs/>
          <w:sz w:val="21"/>
          <w:szCs w:val="21"/>
          <w:lang w:eastAsia="zh-CN"/>
        </w:rPr>
      </w:pPr>
      <w:r>
        <w:rPr>
          <w:rFonts w:hint="eastAsia" w:ascii="宋体" w:hAnsi="宋体" w:eastAsia="宋体"/>
          <w:b/>
          <w:bCs/>
          <w:sz w:val="21"/>
          <w:szCs w:val="21"/>
        </w:rPr>
        <w:t>1．乙方根据本合同的规定向甲方提供以下服务：</w:t>
      </w:r>
    </w:p>
    <w:p>
      <w:pPr>
        <w:adjustRightInd w:val="0"/>
        <w:snapToGrid w:val="0"/>
        <w:spacing w:line="360" w:lineRule="auto"/>
        <w:jc w:val="left"/>
        <w:rPr>
          <w:rFonts w:ascii="宋体" w:hAnsi="宋体" w:eastAsia="宋体"/>
          <w:sz w:val="21"/>
          <w:szCs w:val="21"/>
        </w:rPr>
      </w:pPr>
      <w:r>
        <w:rPr>
          <w:rFonts w:hint="eastAsia" w:ascii="宋体" w:hAnsi="宋体" w:eastAsia="宋体"/>
          <w:sz w:val="21"/>
          <w:szCs w:val="21"/>
        </w:rPr>
        <w:t>1．1乙方所提供的服务其来源应符合国家的有关规定，服务的内容、要求、服务质量等详见单一来源采购文件和协商响应文件。</w:t>
      </w:r>
    </w:p>
    <w:p>
      <w:pPr>
        <w:adjustRightInd w:val="0"/>
        <w:snapToGrid w:val="0"/>
        <w:spacing w:line="360" w:lineRule="auto"/>
        <w:jc w:val="left"/>
        <w:rPr>
          <w:rFonts w:hint="eastAsia" w:ascii="宋体" w:hAnsi="宋体" w:eastAsia="宋体"/>
          <w:b/>
          <w:bCs/>
          <w:sz w:val="21"/>
          <w:szCs w:val="21"/>
          <w:lang w:eastAsia="zh-CN"/>
        </w:rPr>
      </w:pPr>
      <w:r>
        <w:rPr>
          <w:rFonts w:hint="eastAsia" w:ascii="宋体" w:hAnsi="宋体" w:eastAsia="宋体"/>
          <w:b/>
          <w:bCs/>
          <w:sz w:val="21"/>
          <w:szCs w:val="21"/>
        </w:rPr>
        <w:t>2. 合同价格、服务地点和服务期限</w:t>
      </w:r>
    </w:p>
    <w:p>
      <w:pPr>
        <w:adjustRightInd w:val="0"/>
        <w:snapToGrid w:val="0"/>
        <w:spacing w:line="360" w:lineRule="auto"/>
        <w:jc w:val="left"/>
        <w:rPr>
          <w:rFonts w:hint="eastAsia" w:ascii="宋体" w:hAnsi="宋体" w:eastAsia="宋体"/>
          <w:sz w:val="21"/>
          <w:szCs w:val="21"/>
          <w:lang w:eastAsia="zh-CN"/>
        </w:rPr>
      </w:pPr>
      <w:r>
        <w:rPr>
          <w:rFonts w:hint="eastAsia" w:ascii="宋体" w:hAnsi="宋体" w:eastAsia="宋体"/>
          <w:sz w:val="21"/>
          <w:szCs w:val="21"/>
        </w:rPr>
        <w:t>2．1合同价格</w:t>
      </w:r>
    </w:p>
    <w:p>
      <w:pPr>
        <w:adjustRightInd w:val="0"/>
        <w:snapToGrid w:val="0"/>
        <w:spacing w:line="360" w:lineRule="auto"/>
        <w:jc w:val="left"/>
        <w:rPr>
          <w:rFonts w:hint="eastAsia" w:ascii="宋体" w:hAnsi="宋体" w:eastAsia="宋体"/>
          <w:sz w:val="21"/>
          <w:szCs w:val="21"/>
          <w:lang w:eastAsia="zh-CN"/>
        </w:rPr>
      </w:pPr>
      <w:r>
        <w:rPr>
          <w:rFonts w:hint="eastAsia" w:ascii="宋体" w:hAnsi="宋体" w:eastAsia="宋体"/>
          <w:sz w:val="21"/>
          <w:szCs w:val="21"/>
        </w:rPr>
        <w:t>本合同价格为</w:t>
      </w:r>
      <w:r>
        <w:rPr>
          <w:rFonts w:hint="eastAsia" w:ascii="宋体" w:hAnsi="宋体" w:eastAsia="宋体"/>
          <w:sz w:val="21"/>
          <w:szCs w:val="21"/>
          <w:u w:val="single"/>
        </w:rPr>
        <w:t xml:space="preserve">          </w:t>
      </w:r>
      <w:r>
        <w:rPr>
          <w:rFonts w:hint="eastAsia" w:ascii="宋体" w:hAnsi="宋体" w:eastAsia="宋体"/>
          <w:sz w:val="21"/>
          <w:szCs w:val="21"/>
        </w:rPr>
        <w:t xml:space="preserve"> 元整。</w:t>
      </w:r>
    </w:p>
    <w:p>
      <w:pPr>
        <w:adjustRightInd w:val="0"/>
        <w:snapToGrid w:val="0"/>
        <w:spacing w:line="360" w:lineRule="auto"/>
        <w:jc w:val="left"/>
        <w:rPr>
          <w:rFonts w:hint="eastAsia" w:ascii="宋体" w:hAnsi="宋体" w:eastAsia="宋体"/>
          <w:sz w:val="21"/>
          <w:szCs w:val="21"/>
        </w:rPr>
      </w:pPr>
      <w:r>
        <w:rPr>
          <w:rFonts w:hint="eastAsia" w:ascii="宋体" w:hAnsi="宋体" w:eastAsia="宋体"/>
          <w:sz w:val="21"/>
          <w:szCs w:val="21"/>
        </w:rPr>
        <w:t>乙方为履行本合同而发生的所有费用均应包含在合同价中，甲方不再另行支付其它任何费用。</w:t>
      </w:r>
    </w:p>
    <w:p>
      <w:pPr>
        <w:adjustRightInd w:val="0"/>
        <w:snapToGrid w:val="0"/>
        <w:spacing w:line="360" w:lineRule="auto"/>
        <w:jc w:val="left"/>
        <w:rPr>
          <w:rFonts w:hint="eastAsia" w:ascii="宋体" w:hAnsi="宋体" w:eastAsia="宋体"/>
          <w:sz w:val="21"/>
          <w:szCs w:val="21"/>
          <w:lang w:eastAsia="zh-CN"/>
        </w:rPr>
      </w:pPr>
      <w:r>
        <w:rPr>
          <w:rFonts w:hint="eastAsia" w:ascii="宋体" w:hAnsi="宋体" w:eastAsia="宋体"/>
          <w:sz w:val="21"/>
          <w:szCs w:val="21"/>
        </w:rPr>
        <w:t>2．2服务地点：</w:t>
      </w:r>
      <w:r>
        <w:rPr>
          <w:rFonts w:hint="eastAsia" w:ascii="宋体" w:hAnsi="宋体" w:eastAsia="宋体"/>
          <w:sz w:val="21"/>
          <w:szCs w:val="21"/>
          <w:u w:val="single"/>
        </w:rPr>
        <w:t xml:space="preserve">                     </w:t>
      </w:r>
      <w:r>
        <w:rPr>
          <w:rFonts w:hint="eastAsia" w:ascii="宋体" w:hAnsi="宋体" w:eastAsia="宋体"/>
          <w:sz w:val="21"/>
          <w:szCs w:val="21"/>
          <w:lang w:eastAsia="zh-CN"/>
        </w:rPr>
        <w:t>。</w:t>
      </w:r>
    </w:p>
    <w:p>
      <w:pPr>
        <w:adjustRightInd w:val="0"/>
        <w:snapToGrid w:val="0"/>
        <w:spacing w:line="360" w:lineRule="auto"/>
        <w:jc w:val="left"/>
        <w:rPr>
          <w:rFonts w:hint="eastAsia" w:ascii="宋体" w:hAnsi="宋体" w:eastAsia="宋体"/>
          <w:sz w:val="21"/>
          <w:szCs w:val="21"/>
          <w:lang w:eastAsia="zh-CN"/>
        </w:rPr>
      </w:pPr>
      <w:r>
        <w:rPr>
          <w:rFonts w:hint="eastAsia" w:ascii="宋体" w:hAnsi="宋体" w:eastAsia="宋体"/>
          <w:sz w:val="21"/>
          <w:szCs w:val="21"/>
        </w:rPr>
        <w:t>2．3服务期限：</w:t>
      </w:r>
      <w:r>
        <w:rPr>
          <w:rFonts w:hint="eastAsia" w:ascii="宋体" w:hAnsi="宋体" w:eastAsia="宋体"/>
          <w:sz w:val="21"/>
          <w:szCs w:val="21"/>
          <w:u w:val="single"/>
        </w:rPr>
        <w:t xml:space="preserve">                     </w:t>
      </w:r>
      <w:r>
        <w:rPr>
          <w:rFonts w:hint="eastAsia" w:ascii="宋体" w:hAnsi="宋体" w:eastAsia="宋体"/>
          <w:sz w:val="21"/>
          <w:szCs w:val="21"/>
          <w:lang w:eastAsia="zh-CN"/>
        </w:rPr>
        <w:t>。</w:t>
      </w:r>
    </w:p>
    <w:p>
      <w:pPr>
        <w:adjustRightInd w:val="0"/>
        <w:snapToGrid w:val="0"/>
        <w:spacing w:line="360" w:lineRule="auto"/>
        <w:jc w:val="left"/>
        <w:rPr>
          <w:rFonts w:hint="eastAsia" w:ascii="宋体" w:hAnsi="宋体" w:eastAsia="宋体"/>
          <w:b/>
          <w:bCs/>
          <w:sz w:val="21"/>
          <w:szCs w:val="21"/>
          <w:lang w:eastAsia="zh-CN"/>
        </w:rPr>
      </w:pPr>
      <w:r>
        <w:rPr>
          <w:rFonts w:hint="eastAsia" w:ascii="宋体" w:hAnsi="宋体" w:eastAsia="宋体"/>
          <w:b/>
          <w:bCs/>
          <w:sz w:val="21"/>
          <w:szCs w:val="21"/>
        </w:rPr>
        <w:t>3．质量标准和要求</w:t>
      </w:r>
    </w:p>
    <w:p>
      <w:pPr>
        <w:adjustRightInd w:val="0"/>
        <w:snapToGrid w:val="0"/>
        <w:spacing w:line="360" w:lineRule="auto"/>
        <w:jc w:val="left"/>
        <w:rPr>
          <w:rFonts w:hint="eastAsia" w:ascii="宋体" w:hAnsi="宋体" w:eastAsia="宋体"/>
          <w:sz w:val="21"/>
          <w:szCs w:val="21"/>
          <w:lang w:eastAsia="zh-CN"/>
        </w:rPr>
      </w:pPr>
      <w:r>
        <w:rPr>
          <w:rFonts w:hint="eastAsia" w:ascii="宋体" w:hAnsi="宋体" w:eastAsia="宋体"/>
          <w:sz w:val="21"/>
          <w:szCs w:val="21"/>
        </w:rPr>
        <w:t>3．1 乙方所提供的服务的质量标准按照国家标准、行业标准或制造厂家企业标准确定，上述标准不一致的，以严格的标准为准。没有国家标准、行业标准和企业标准的，按照通常标准或者符合合同目的的特定标准确定。</w:t>
      </w:r>
    </w:p>
    <w:p>
      <w:pPr>
        <w:adjustRightInd w:val="0"/>
        <w:snapToGrid w:val="0"/>
        <w:spacing w:line="360" w:lineRule="auto"/>
        <w:jc w:val="left"/>
        <w:rPr>
          <w:rFonts w:ascii="宋体" w:hAnsi="宋体" w:eastAsia="宋体"/>
          <w:sz w:val="21"/>
          <w:szCs w:val="21"/>
        </w:rPr>
      </w:pPr>
      <w:r>
        <w:rPr>
          <w:rFonts w:hint="eastAsia" w:ascii="宋体" w:hAnsi="宋体" w:eastAsia="宋体"/>
          <w:sz w:val="21"/>
          <w:szCs w:val="21"/>
        </w:rPr>
        <w:t>3．2 乙方所交付的</w:t>
      </w:r>
      <w:r>
        <w:rPr>
          <w:rFonts w:hint="eastAsia" w:ascii="宋体" w:hAnsi="宋体" w:eastAsia="宋体"/>
          <w:sz w:val="21"/>
          <w:szCs w:val="21"/>
          <w:u w:val="single"/>
        </w:rPr>
        <w:t xml:space="preserve">        </w:t>
      </w:r>
      <w:r>
        <w:rPr>
          <w:rFonts w:hint="eastAsia" w:ascii="宋体" w:hAnsi="宋体" w:eastAsia="宋体"/>
          <w:sz w:val="21"/>
          <w:szCs w:val="21"/>
        </w:rPr>
        <w:t>服务还应符合国家和上海市有关安全、环保、卫生之规定。</w:t>
      </w:r>
    </w:p>
    <w:p>
      <w:pPr>
        <w:adjustRightInd w:val="0"/>
        <w:snapToGrid w:val="0"/>
        <w:spacing w:line="360" w:lineRule="auto"/>
        <w:jc w:val="left"/>
        <w:rPr>
          <w:rFonts w:hint="eastAsia" w:ascii="宋体" w:hAnsi="宋体" w:eastAsia="宋体"/>
          <w:b/>
          <w:bCs/>
          <w:sz w:val="21"/>
          <w:szCs w:val="21"/>
          <w:lang w:eastAsia="zh-CN"/>
        </w:rPr>
      </w:pPr>
      <w:r>
        <w:rPr>
          <w:rFonts w:hint="eastAsia" w:ascii="宋体" w:hAnsi="宋体" w:eastAsia="宋体"/>
          <w:b/>
          <w:bCs/>
          <w:sz w:val="21"/>
          <w:szCs w:val="21"/>
        </w:rPr>
        <w:t>4．权利瑕疵担保</w:t>
      </w:r>
    </w:p>
    <w:p>
      <w:pPr>
        <w:adjustRightInd w:val="0"/>
        <w:snapToGrid w:val="0"/>
        <w:spacing w:line="360" w:lineRule="auto"/>
        <w:jc w:val="left"/>
        <w:rPr>
          <w:rFonts w:hint="eastAsia" w:ascii="宋体" w:hAnsi="宋体" w:eastAsia="宋体"/>
          <w:sz w:val="21"/>
          <w:szCs w:val="21"/>
          <w:lang w:eastAsia="zh-CN"/>
        </w:rPr>
      </w:pPr>
      <w:r>
        <w:rPr>
          <w:rFonts w:hint="eastAsia" w:ascii="宋体" w:hAnsi="宋体" w:eastAsia="宋体"/>
          <w:sz w:val="21"/>
          <w:szCs w:val="21"/>
        </w:rPr>
        <w:t>4．1 乙方保证对其交付的服务享有合法的权利。</w:t>
      </w:r>
    </w:p>
    <w:p>
      <w:pPr>
        <w:adjustRightInd w:val="0"/>
        <w:snapToGrid w:val="0"/>
        <w:spacing w:line="360" w:lineRule="auto"/>
        <w:jc w:val="left"/>
        <w:rPr>
          <w:rFonts w:hint="eastAsia" w:ascii="宋体" w:hAnsi="宋体" w:eastAsia="宋体"/>
          <w:sz w:val="21"/>
          <w:szCs w:val="21"/>
          <w:lang w:eastAsia="zh-CN"/>
        </w:rPr>
      </w:pPr>
      <w:r>
        <w:rPr>
          <w:rFonts w:hint="eastAsia" w:ascii="宋体" w:hAnsi="宋体" w:eastAsia="宋体"/>
          <w:sz w:val="21"/>
          <w:szCs w:val="21"/>
        </w:rPr>
        <w:t>4．2 乙方保证在服务上不存在任何未曾向甲方透露的担保物权，如抵押权、质押权、留置权等。</w:t>
      </w:r>
    </w:p>
    <w:p>
      <w:pPr>
        <w:adjustRightInd w:val="0"/>
        <w:snapToGrid w:val="0"/>
        <w:spacing w:line="360" w:lineRule="auto"/>
        <w:jc w:val="left"/>
        <w:rPr>
          <w:rFonts w:hint="eastAsia" w:ascii="宋体" w:hAnsi="宋体" w:eastAsia="宋体"/>
          <w:sz w:val="21"/>
          <w:szCs w:val="21"/>
          <w:lang w:eastAsia="zh-CN"/>
        </w:rPr>
      </w:pPr>
      <w:r>
        <w:rPr>
          <w:rFonts w:hint="eastAsia" w:ascii="宋体" w:hAnsi="宋体" w:eastAsia="宋体"/>
          <w:sz w:val="21"/>
          <w:szCs w:val="21"/>
        </w:rPr>
        <w:t>4．3 乙方保证其所交付的服务没有侵犯任何第三人的知识产权和商业秘密等权利。</w:t>
      </w:r>
    </w:p>
    <w:p>
      <w:pPr>
        <w:adjustRightInd w:val="0"/>
        <w:snapToGrid w:val="0"/>
        <w:spacing w:line="360" w:lineRule="auto"/>
        <w:jc w:val="left"/>
        <w:rPr>
          <w:rFonts w:ascii="宋体" w:hAnsi="宋体" w:eastAsia="宋体"/>
          <w:sz w:val="21"/>
          <w:szCs w:val="21"/>
        </w:rPr>
      </w:pPr>
      <w:r>
        <w:rPr>
          <w:rFonts w:hint="eastAsia" w:ascii="宋体" w:hAnsi="宋体" w:eastAsia="宋体"/>
          <w:sz w:val="21"/>
          <w:szCs w:val="21"/>
        </w:rPr>
        <w:t>4．4 如甲方使用该服务构成上述侵权的，则由乙方承担全部责任。</w:t>
      </w:r>
    </w:p>
    <w:p>
      <w:pPr>
        <w:adjustRightInd w:val="0"/>
        <w:snapToGrid w:val="0"/>
        <w:spacing w:line="360" w:lineRule="auto"/>
        <w:jc w:val="left"/>
        <w:rPr>
          <w:rFonts w:hint="eastAsia" w:ascii="宋体" w:hAnsi="宋体" w:eastAsia="宋体"/>
          <w:b/>
          <w:bCs/>
          <w:sz w:val="21"/>
          <w:szCs w:val="21"/>
          <w:lang w:eastAsia="zh-CN"/>
        </w:rPr>
      </w:pPr>
      <w:r>
        <w:rPr>
          <w:rFonts w:hint="eastAsia" w:ascii="宋体" w:hAnsi="宋体" w:eastAsia="宋体"/>
          <w:b/>
          <w:bCs/>
          <w:sz w:val="21"/>
          <w:szCs w:val="21"/>
        </w:rPr>
        <w:t>5．验收</w:t>
      </w:r>
    </w:p>
    <w:p>
      <w:pPr>
        <w:adjustRightInd w:val="0"/>
        <w:snapToGrid w:val="0"/>
        <w:spacing w:line="360" w:lineRule="auto"/>
        <w:jc w:val="left"/>
        <w:rPr>
          <w:rFonts w:hint="eastAsia" w:ascii="宋体" w:hAnsi="宋体" w:eastAsia="宋体"/>
          <w:sz w:val="21"/>
          <w:szCs w:val="21"/>
          <w:lang w:eastAsia="zh-CN"/>
        </w:rPr>
      </w:pPr>
      <w:r>
        <w:rPr>
          <w:rFonts w:hint="eastAsia" w:ascii="宋体" w:hAnsi="宋体" w:eastAsia="宋体"/>
          <w:sz w:val="21"/>
          <w:szCs w:val="21"/>
        </w:rPr>
        <w:t>5．1 服务根据合同的规定完成后，甲方应及时进行根据合同的规定进行服务验收。乙方应当以书面形式向甲方递交验收通知书，甲方在收到验收通知书后的10个工作日内，确定具体日期，由双方按照本合同的规定完成服务验收。甲方有权委托第三方检测机构进行验收，对此乙方应当配合。</w:t>
      </w:r>
    </w:p>
    <w:p>
      <w:pPr>
        <w:adjustRightInd w:val="0"/>
        <w:snapToGrid w:val="0"/>
        <w:spacing w:line="360" w:lineRule="auto"/>
        <w:jc w:val="left"/>
        <w:rPr>
          <w:rFonts w:hint="eastAsia" w:ascii="宋体" w:hAnsi="宋体" w:eastAsia="宋体"/>
          <w:sz w:val="21"/>
          <w:szCs w:val="21"/>
          <w:lang w:eastAsia="zh-CN"/>
        </w:rPr>
      </w:pPr>
      <w:r>
        <w:rPr>
          <w:rFonts w:hint="eastAsia" w:ascii="宋体" w:hAnsi="宋体" w:eastAsia="宋体"/>
          <w:sz w:val="21"/>
          <w:szCs w:val="21"/>
        </w:rPr>
        <w:t>5．2如果属于乙方原因致使系统未能通过验收，乙方应当排除故障，并自行承担相关费用，同时进行试运行，直至服务完全符合验收标准。</w:t>
      </w:r>
    </w:p>
    <w:p>
      <w:pPr>
        <w:adjustRightInd w:val="0"/>
        <w:snapToGrid w:val="0"/>
        <w:spacing w:line="360" w:lineRule="auto"/>
        <w:jc w:val="left"/>
        <w:rPr>
          <w:rFonts w:hint="eastAsia" w:ascii="宋体" w:hAnsi="宋体" w:eastAsia="宋体"/>
          <w:sz w:val="21"/>
          <w:szCs w:val="21"/>
          <w:lang w:eastAsia="zh-CN"/>
        </w:rPr>
      </w:pPr>
      <w:r>
        <w:rPr>
          <w:rFonts w:hint="eastAsia" w:ascii="宋体" w:hAnsi="宋体" w:eastAsia="宋体"/>
          <w:sz w:val="21"/>
          <w:szCs w:val="21"/>
        </w:rPr>
        <w:t>5．3 如果属于甲方原因致使系统未能通过验收，甲方应在合理时间内排除故障，再次进行验收。如果属于故障之外的原因，除本合同规定的不可抗力外，甲方不愿或未能在规定的时间内完成验收，则由乙方单方面进行验收，并将验收报告提交甲方，即视为验收通过。</w:t>
      </w:r>
    </w:p>
    <w:p>
      <w:pPr>
        <w:adjustRightInd w:val="0"/>
        <w:snapToGrid w:val="0"/>
        <w:spacing w:line="360" w:lineRule="auto"/>
        <w:jc w:val="left"/>
        <w:rPr>
          <w:rFonts w:ascii="宋体" w:hAnsi="宋体" w:eastAsia="宋体"/>
          <w:sz w:val="21"/>
          <w:szCs w:val="21"/>
        </w:rPr>
      </w:pPr>
      <w:r>
        <w:rPr>
          <w:rFonts w:hint="eastAsia" w:ascii="宋体" w:hAnsi="宋体" w:eastAsia="宋体"/>
          <w:sz w:val="21"/>
          <w:szCs w:val="21"/>
        </w:rPr>
        <w:t>5．4甲方根据合同的规定对服务验收合格后，甲方收取发票并签署验收意见。</w:t>
      </w:r>
    </w:p>
    <w:p>
      <w:pPr>
        <w:adjustRightInd w:val="0"/>
        <w:snapToGrid w:val="0"/>
        <w:spacing w:line="360" w:lineRule="auto"/>
        <w:jc w:val="left"/>
        <w:rPr>
          <w:rFonts w:hint="eastAsia" w:ascii="宋体" w:hAnsi="宋体" w:eastAsia="宋体"/>
          <w:b/>
          <w:bCs/>
          <w:sz w:val="21"/>
          <w:szCs w:val="21"/>
          <w:lang w:eastAsia="zh-CN"/>
        </w:rPr>
      </w:pPr>
      <w:r>
        <w:rPr>
          <w:rFonts w:hint="eastAsia" w:ascii="宋体" w:hAnsi="宋体" w:eastAsia="宋体"/>
          <w:b/>
          <w:bCs/>
          <w:sz w:val="21"/>
          <w:szCs w:val="21"/>
        </w:rPr>
        <w:t>6．保密</w:t>
      </w:r>
    </w:p>
    <w:p>
      <w:pPr>
        <w:adjustRightInd w:val="0"/>
        <w:snapToGrid w:val="0"/>
        <w:spacing w:line="360" w:lineRule="auto"/>
        <w:jc w:val="left"/>
        <w:rPr>
          <w:rFonts w:ascii="宋体" w:hAnsi="宋体" w:eastAsia="宋体"/>
          <w:sz w:val="21"/>
          <w:szCs w:val="21"/>
        </w:rPr>
      </w:pPr>
      <w:r>
        <w:rPr>
          <w:rFonts w:hint="eastAsia" w:ascii="宋体" w:hAnsi="宋体" w:eastAsia="宋体"/>
          <w:sz w:val="21"/>
          <w:szCs w:val="21"/>
        </w:rPr>
        <w:t>6．1如果甲方或乙方提供的内容属于保密的，应签订保密协议，甲乙双方均有保密义务。</w:t>
      </w:r>
    </w:p>
    <w:p>
      <w:pPr>
        <w:adjustRightInd w:val="0"/>
        <w:snapToGrid w:val="0"/>
        <w:spacing w:line="360" w:lineRule="auto"/>
        <w:jc w:val="left"/>
        <w:rPr>
          <w:rFonts w:hint="eastAsia" w:ascii="宋体" w:hAnsi="宋体" w:eastAsia="宋体"/>
          <w:b/>
          <w:bCs/>
          <w:sz w:val="21"/>
          <w:szCs w:val="21"/>
          <w:lang w:eastAsia="zh-CN"/>
        </w:rPr>
      </w:pPr>
      <w:r>
        <w:rPr>
          <w:rFonts w:hint="eastAsia" w:ascii="宋体" w:hAnsi="宋体" w:eastAsia="宋体"/>
          <w:b/>
          <w:bCs/>
          <w:sz w:val="21"/>
          <w:szCs w:val="21"/>
        </w:rPr>
        <w:t>7．付款</w:t>
      </w:r>
    </w:p>
    <w:p>
      <w:pPr>
        <w:adjustRightInd w:val="0"/>
        <w:snapToGrid w:val="0"/>
        <w:spacing w:line="360" w:lineRule="auto"/>
        <w:jc w:val="left"/>
        <w:rPr>
          <w:rFonts w:hint="eastAsia" w:ascii="宋体" w:hAnsi="宋体" w:eastAsia="宋体"/>
          <w:sz w:val="21"/>
          <w:szCs w:val="21"/>
          <w:lang w:eastAsia="zh-CN"/>
        </w:rPr>
      </w:pPr>
      <w:r>
        <w:rPr>
          <w:rFonts w:hint="eastAsia" w:ascii="宋体" w:hAnsi="宋体" w:eastAsia="宋体"/>
          <w:sz w:val="21"/>
          <w:szCs w:val="21"/>
        </w:rPr>
        <w:t>7．1 本合同以人民币付款（单位：元）。</w:t>
      </w:r>
    </w:p>
    <w:p>
      <w:pPr>
        <w:adjustRightInd w:val="0"/>
        <w:snapToGrid w:val="0"/>
        <w:spacing w:line="360" w:lineRule="auto"/>
        <w:jc w:val="left"/>
        <w:rPr>
          <w:rFonts w:hint="eastAsia" w:ascii="宋体" w:hAnsi="宋体" w:eastAsia="宋体"/>
          <w:sz w:val="21"/>
          <w:szCs w:val="21"/>
          <w:lang w:eastAsia="zh-CN"/>
        </w:rPr>
      </w:pPr>
      <w:r>
        <w:rPr>
          <w:rFonts w:hint="eastAsia" w:ascii="宋体" w:hAnsi="宋体" w:eastAsia="宋体"/>
          <w:sz w:val="21"/>
          <w:szCs w:val="21"/>
        </w:rPr>
        <w:t>7．2 本合同款项按照以下方式支付。</w:t>
      </w:r>
    </w:p>
    <w:p>
      <w:pPr>
        <w:adjustRightInd w:val="0"/>
        <w:snapToGrid w:val="0"/>
        <w:spacing w:line="360" w:lineRule="auto"/>
        <w:jc w:val="left"/>
        <w:rPr>
          <w:rFonts w:hint="eastAsia" w:ascii="宋体" w:hAnsi="宋体" w:eastAsia="宋体"/>
          <w:sz w:val="21"/>
          <w:szCs w:val="21"/>
          <w:lang w:eastAsia="zh-CN"/>
        </w:rPr>
      </w:pPr>
      <w:r>
        <w:rPr>
          <w:rFonts w:hint="eastAsia" w:ascii="宋体" w:hAnsi="宋体" w:eastAsia="宋体"/>
          <w:sz w:val="21"/>
          <w:szCs w:val="21"/>
        </w:rPr>
        <w:t>7．2．1付款内容：（分期付款）</w:t>
      </w:r>
    </w:p>
    <w:p>
      <w:pPr>
        <w:adjustRightInd w:val="0"/>
        <w:snapToGrid w:val="0"/>
        <w:spacing w:line="360" w:lineRule="auto"/>
        <w:jc w:val="left"/>
        <w:rPr>
          <w:rFonts w:ascii="宋体" w:hAnsi="宋体" w:eastAsia="宋体"/>
          <w:b/>
          <w:bCs/>
          <w:sz w:val="21"/>
          <w:szCs w:val="21"/>
        </w:rPr>
      </w:pPr>
      <w:r>
        <w:rPr>
          <w:rFonts w:hint="eastAsia" w:ascii="宋体" w:hAnsi="宋体" w:eastAsia="宋体"/>
          <w:sz w:val="21"/>
          <w:szCs w:val="21"/>
        </w:rPr>
        <w:t>7．2．2付款条件：</w:t>
      </w:r>
      <w:r>
        <w:rPr>
          <w:rFonts w:hint="eastAsia" w:ascii="宋体" w:hAnsi="宋体" w:eastAsia="宋体"/>
          <w:sz w:val="21"/>
          <w:szCs w:val="21"/>
          <w:u w:val="single"/>
        </w:rPr>
        <w:t xml:space="preserve">                     </w:t>
      </w:r>
      <w:r>
        <w:rPr>
          <w:rFonts w:hint="eastAsia" w:ascii="宋体" w:hAnsi="宋体" w:eastAsia="宋体"/>
          <w:sz w:val="21"/>
          <w:szCs w:val="21"/>
          <w:lang w:eastAsia="zh-CN"/>
        </w:rPr>
        <w:t>。</w:t>
      </w:r>
    </w:p>
    <w:p>
      <w:pPr>
        <w:adjustRightInd w:val="0"/>
        <w:snapToGrid w:val="0"/>
        <w:spacing w:line="360" w:lineRule="auto"/>
        <w:jc w:val="left"/>
        <w:rPr>
          <w:rFonts w:hint="eastAsia" w:ascii="宋体" w:hAnsi="宋体" w:eastAsia="宋体"/>
          <w:b/>
          <w:bCs/>
          <w:sz w:val="21"/>
          <w:szCs w:val="21"/>
          <w:lang w:eastAsia="zh-CN"/>
        </w:rPr>
      </w:pPr>
      <w:r>
        <w:rPr>
          <w:rFonts w:hint="eastAsia" w:ascii="宋体" w:hAnsi="宋体" w:eastAsia="宋体"/>
          <w:b/>
          <w:bCs/>
          <w:sz w:val="21"/>
          <w:szCs w:val="21"/>
        </w:rPr>
        <w:t>8．甲方（甲方）的权利义务</w:t>
      </w:r>
    </w:p>
    <w:p>
      <w:pPr>
        <w:adjustRightInd w:val="0"/>
        <w:snapToGrid w:val="0"/>
        <w:spacing w:line="360" w:lineRule="auto"/>
        <w:jc w:val="left"/>
        <w:rPr>
          <w:rFonts w:hint="eastAsia" w:ascii="宋体" w:hAnsi="宋体" w:eastAsia="宋体"/>
          <w:sz w:val="21"/>
          <w:szCs w:val="21"/>
          <w:lang w:eastAsia="zh-CN"/>
        </w:rPr>
      </w:pPr>
      <w:r>
        <w:rPr>
          <w:rFonts w:hint="eastAsia" w:ascii="宋体" w:hAnsi="宋体" w:eastAsia="宋体"/>
          <w:sz w:val="21"/>
          <w:szCs w:val="21"/>
        </w:rPr>
        <w:t>8．1、甲方有权在合同规定的范围内享受</w:t>
      </w:r>
      <w:r>
        <w:rPr>
          <w:rFonts w:hint="eastAsia" w:ascii="宋体" w:hAnsi="宋体" w:eastAsia="宋体"/>
          <w:sz w:val="21"/>
          <w:szCs w:val="21"/>
          <w:u w:val="single"/>
        </w:rPr>
        <w:t xml:space="preserve">      </w:t>
      </w:r>
      <w:r>
        <w:rPr>
          <w:rFonts w:hint="eastAsia" w:ascii="宋体" w:hAnsi="宋体" w:eastAsia="宋体"/>
          <w:sz w:val="21"/>
          <w:szCs w:val="21"/>
        </w:rPr>
        <w:t>服务，对没有达到合同规定的服务质量或标准的服务事项，甲方有权要求乙方在规定的时间内加急提供服务，直至符合要求为止。</w:t>
      </w:r>
    </w:p>
    <w:p>
      <w:pPr>
        <w:adjustRightInd w:val="0"/>
        <w:snapToGrid w:val="0"/>
        <w:spacing w:line="360" w:lineRule="auto"/>
        <w:jc w:val="left"/>
        <w:rPr>
          <w:rFonts w:hint="eastAsia" w:ascii="宋体" w:hAnsi="宋体" w:eastAsia="宋体"/>
          <w:sz w:val="21"/>
          <w:szCs w:val="21"/>
          <w:lang w:eastAsia="zh-CN"/>
        </w:rPr>
      </w:pPr>
      <w:r>
        <w:rPr>
          <w:rFonts w:hint="eastAsia" w:ascii="宋体" w:hAnsi="宋体" w:eastAsia="宋体"/>
          <w:sz w:val="21"/>
          <w:szCs w:val="21"/>
        </w:rPr>
        <w:t>8．2如果乙方无法完成合同规定的服务内容、或者服务无法达到合同规定的服务质量或标准的，造成</w:t>
      </w:r>
      <w:r>
        <w:rPr>
          <w:rFonts w:hint="eastAsia" w:ascii="宋体" w:hAnsi="宋体" w:eastAsia="宋体"/>
          <w:sz w:val="21"/>
          <w:szCs w:val="21"/>
          <w:u w:val="single"/>
        </w:rPr>
        <w:t xml:space="preserve">      </w:t>
      </w:r>
      <w:r>
        <w:rPr>
          <w:rFonts w:hint="eastAsia" w:ascii="宋体" w:hAnsi="宋体" w:eastAsia="宋体"/>
          <w:sz w:val="21"/>
          <w:szCs w:val="21"/>
        </w:rPr>
        <w:t>的无法正常运行，甲方有权邀请第三方提供服务，其支付的服务费用由乙方承担；如果乙方不支付，甲方有权在支付乙方合同款项时扣除其相等的金额。</w:t>
      </w:r>
    </w:p>
    <w:p>
      <w:pPr>
        <w:adjustRightInd w:val="0"/>
        <w:snapToGrid w:val="0"/>
        <w:spacing w:line="360" w:lineRule="auto"/>
        <w:jc w:val="left"/>
        <w:rPr>
          <w:rFonts w:hint="eastAsia" w:ascii="宋体" w:hAnsi="宋体" w:eastAsia="宋体"/>
          <w:sz w:val="21"/>
          <w:szCs w:val="21"/>
          <w:lang w:eastAsia="zh-CN"/>
        </w:rPr>
      </w:pPr>
      <w:r>
        <w:rPr>
          <w:rFonts w:hint="eastAsia" w:ascii="宋体" w:hAnsi="宋体" w:eastAsia="宋体"/>
          <w:sz w:val="21"/>
          <w:szCs w:val="21"/>
        </w:rPr>
        <w:t>8．3由于乙方服务质量或延误服务的原因，使甲方有关</w:t>
      </w:r>
      <w:r>
        <w:rPr>
          <w:rFonts w:hint="eastAsia" w:ascii="宋体" w:hAnsi="宋体" w:eastAsia="宋体"/>
          <w:sz w:val="21"/>
          <w:szCs w:val="21"/>
          <w:u w:val="single"/>
        </w:rPr>
        <w:t xml:space="preserve">      </w:t>
      </w:r>
      <w:r>
        <w:rPr>
          <w:rFonts w:hint="eastAsia" w:ascii="宋体" w:hAnsi="宋体" w:eastAsia="宋体"/>
          <w:sz w:val="21"/>
          <w:szCs w:val="21"/>
        </w:rPr>
        <w:t>或设备损坏造成经济损失的，甲方有权要求乙方进行经济赔偿。</w:t>
      </w:r>
    </w:p>
    <w:p>
      <w:pPr>
        <w:adjustRightInd w:val="0"/>
        <w:snapToGrid w:val="0"/>
        <w:spacing w:line="360" w:lineRule="auto"/>
        <w:jc w:val="left"/>
        <w:rPr>
          <w:rFonts w:hint="eastAsia" w:ascii="宋体" w:hAnsi="宋体" w:eastAsia="宋体"/>
          <w:sz w:val="21"/>
          <w:szCs w:val="21"/>
          <w:lang w:eastAsia="zh-CN"/>
        </w:rPr>
      </w:pPr>
      <w:r>
        <w:rPr>
          <w:rFonts w:hint="eastAsia" w:ascii="宋体" w:hAnsi="宋体" w:eastAsia="宋体"/>
          <w:sz w:val="21"/>
          <w:szCs w:val="21"/>
        </w:rPr>
        <w:t>8．4甲方在合同规定的服务期限内有义务为乙方创造服务工作便利，并提供适合的工作环境，协助乙方完成服务工作。</w:t>
      </w:r>
    </w:p>
    <w:p>
      <w:pPr>
        <w:adjustRightInd w:val="0"/>
        <w:snapToGrid w:val="0"/>
        <w:spacing w:line="360" w:lineRule="auto"/>
        <w:jc w:val="left"/>
        <w:rPr>
          <w:rFonts w:hint="eastAsia" w:ascii="宋体" w:hAnsi="宋体" w:eastAsia="宋体"/>
          <w:sz w:val="21"/>
          <w:szCs w:val="21"/>
          <w:lang w:eastAsia="zh-CN"/>
        </w:rPr>
      </w:pPr>
      <w:r>
        <w:rPr>
          <w:rFonts w:hint="eastAsia" w:ascii="宋体" w:hAnsi="宋体" w:eastAsia="宋体"/>
          <w:sz w:val="21"/>
          <w:szCs w:val="21"/>
        </w:rPr>
        <w:t>8．5当或设备发生故障时，甲方应及时告知乙方有关发生故障的相关信息，以便乙方及时分析故障原因，及时采取有效措施排除故障，恢复正常运行。</w:t>
      </w:r>
    </w:p>
    <w:p>
      <w:pPr>
        <w:adjustRightInd w:val="0"/>
        <w:snapToGrid w:val="0"/>
        <w:spacing w:line="360" w:lineRule="auto"/>
        <w:jc w:val="left"/>
        <w:rPr>
          <w:rFonts w:ascii="宋体" w:hAnsi="宋体" w:eastAsia="宋体"/>
          <w:sz w:val="21"/>
          <w:szCs w:val="21"/>
        </w:rPr>
      </w:pPr>
      <w:r>
        <w:rPr>
          <w:rFonts w:hint="eastAsia" w:ascii="宋体" w:hAnsi="宋体" w:eastAsia="宋体"/>
          <w:sz w:val="21"/>
          <w:szCs w:val="21"/>
        </w:rPr>
        <w:t>8．6如果甲方因工作需要对原有</w:t>
      </w:r>
      <w:r>
        <w:rPr>
          <w:rFonts w:hint="eastAsia" w:ascii="宋体" w:hAnsi="宋体" w:eastAsia="宋体"/>
          <w:sz w:val="21"/>
          <w:szCs w:val="21"/>
          <w:u w:val="single"/>
        </w:rPr>
        <w:t xml:space="preserve">      </w:t>
      </w:r>
      <w:r>
        <w:rPr>
          <w:rFonts w:hint="eastAsia" w:ascii="宋体" w:hAnsi="宋体" w:eastAsia="宋体"/>
          <w:sz w:val="21"/>
          <w:szCs w:val="21"/>
        </w:rPr>
        <w:t>进行调整，应有义务并通过有效的方式及时通知乙方涉及合同服务范围调整的，应与乙方协商解决。</w:t>
      </w:r>
    </w:p>
    <w:p>
      <w:pPr>
        <w:adjustRightInd w:val="0"/>
        <w:snapToGrid w:val="0"/>
        <w:spacing w:line="360" w:lineRule="auto"/>
        <w:jc w:val="left"/>
        <w:rPr>
          <w:rFonts w:hint="eastAsia" w:ascii="宋体" w:hAnsi="宋体" w:eastAsia="宋体"/>
          <w:b/>
          <w:bCs/>
          <w:sz w:val="21"/>
          <w:szCs w:val="21"/>
          <w:lang w:eastAsia="zh-CN"/>
        </w:rPr>
      </w:pPr>
      <w:r>
        <w:rPr>
          <w:rFonts w:hint="eastAsia" w:ascii="宋体" w:hAnsi="宋体" w:eastAsia="宋体"/>
          <w:b/>
          <w:bCs/>
          <w:sz w:val="21"/>
          <w:szCs w:val="21"/>
        </w:rPr>
        <w:t>9．乙方的权利与义务</w:t>
      </w:r>
    </w:p>
    <w:p>
      <w:pPr>
        <w:adjustRightInd w:val="0"/>
        <w:snapToGrid w:val="0"/>
        <w:spacing w:line="360" w:lineRule="auto"/>
        <w:jc w:val="left"/>
        <w:rPr>
          <w:rFonts w:hint="eastAsia" w:ascii="宋体" w:hAnsi="宋体" w:eastAsia="宋体"/>
          <w:sz w:val="21"/>
          <w:szCs w:val="21"/>
          <w:lang w:eastAsia="zh-CN"/>
        </w:rPr>
      </w:pPr>
      <w:r>
        <w:rPr>
          <w:rFonts w:hint="eastAsia" w:ascii="宋体" w:hAnsi="宋体" w:eastAsia="宋体"/>
          <w:sz w:val="21"/>
          <w:szCs w:val="21"/>
        </w:rPr>
        <w:t>9．1乙方根据合同的服务内容和要求及时提供相应的服务，如果甲方在合同服务范围外增加或扩大服务内容的，乙方有权要求甲方支付其相应的费用。</w:t>
      </w:r>
    </w:p>
    <w:p>
      <w:pPr>
        <w:adjustRightInd w:val="0"/>
        <w:snapToGrid w:val="0"/>
        <w:spacing w:line="360" w:lineRule="auto"/>
        <w:jc w:val="left"/>
        <w:rPr>
          <w:rFonts w:hint="eastAsia" w:ascii="宋体" w:hAnsi="宋体" w:eastAsia="宋体"/>
          <w:sz w:val="21"/>
          <w:szCs w:val="21"/>
          <w:lang w:eastAsia="zh-CN"/>
        </w:rPr>
      </w:pPr>
      <w:r>
        <w:rPr>
          <w:rFonts w:hint="eastAsia" w:ascii="宋体" w:hAnsi="宋体" w:eastAsia="宋体"/>
          <w:sz w:val="21"/>
          <w:szCs w:val="21"/>
        </w:rPr>
        <w:t>9．2乙方为了更好地进行服务，满足甲方对服务质量的要求，有权利要求甲方提供合适的工作环境和便利。在进行故障处理紧急服务时，可以要求甲方进行合作配合。</w:t>
      </w:r>
    </w:p>
    <w:p>
      <w:pPr>
        <w:adjustRightInd w:val="0"/>
        <w:snapToGrid w:val="0"/>
        <w:spacing w:line="360" w:lineRule="auto"/>
        <w:jc w:val="left"/>
        <w:rPr>
          <w:rFonts w:hint="eastAsia" w:ascii="宋体" w:hAnsi="宋体" w:eastAsia="宋体"/>
          <w:sz w:val="21"/>
          <w:szCs w:val="21"/>
          <w:lang w:eastAsia="zh-CN"/>
        </w:rPr>
      </w:pPr>
      <w:r>
        <w:rPr>
          <w:rFonts w:hint="eastAsia" w:ascii="宋体" w:hAnsi="宋体" w:eastAsia="宋体"/>
          <w:sz w:val="21"/>
          <w:szCs w:val="21"/>
        </w:rPr>
        <w:t>9．3如果由于甲方的责任而造成服务延误或不能达到服务质量的，乙方不承担违约责任。</w:t>
      </w:r>
    </w:p>
    <w:p>
      <w:pPr>
        <w:adjustRightInd w:val="0"/>
        <w:snapToGrid w:val="0"/>
        <w:spacing w:line="360" w:lineRule="auto"/>
        <w:jc w:val="left"/>
        <w:rPr>
          <w:rFonts w:hint="eastAsia" w:ascii="宋体" w:hAnsi="宋体" w:eastAsia="宋体"/>
          <w:sz w:val="21"/>
          <w:szCs w:val="21"/>
          <w:lang w:eastAsia="zh-CN"/>
        </w:rPr>
      </w:pPr>
      <w:r>
        <w:rPr>
          <w:rFonts w:hint="eastAsia" w:ascii="宋体" w:hAnsi="宋体" w:eastAsia="宋体"/>
          <w:sz w:val="21"/>
          <w:szCs w:val="21"/>
        </w:rPr>
        <w:t>9．4由于因甲方工作人员人为操作失误、或供电等环境不符合合同设备正常工作要求、或其他不可抗力因素造成的设备损毁，乙方不承担赔偿责任。</w:t>
      </w:r>
    </w:p>
    <w:p>
      <w:pPr>
        <w:adjustRightInd w:val="0"/>
        <w:snapToGrid w:val="0"/>
        <w:spacing w:line="360" w:lineRule="auto"/>
        <w:jc w:val="left"/>
        <w:rPr>
          <w:rFonts w:hint="eastAsia" w:ascii="宋体" w:hAnsi="宋体" w:eastAsia="宋体"/>
          <w:sz w:val="21"/>
          <w:szCs w:val="21"/>
          <w:lang w:eastAsia="zh-CN"/>
        </w:rPr>
      </w:pPr>
      <w:r>
        <w:rPr>
          <w:rFonts w:hint="eastAsia" w:ascii="宋体" w:hAnsi="宋体" w:eastAsia="宋体"/>
          <w:sz w:val="21"/>
          <w:szCs w:val="21"/>
        </w:rPr>
        <w:t>9．5乙方保证在服务中，未经甲方许可不得使用含有可以自动终止或妨碍系统运作的软件和硬件，否则，乙方应承担赔偿责任。</w:t>
      </w:r>
    </w:p>
    <w:p>
      <w:pPr>
        <w:adjustRightInd w:val="0"/>
        <w:snapToGrid w:val="0"/>
        <w:spacing w:line="360" w:lineRule="auto"/>
        <w:jc w:val="left"/>
        <w:rPr>
          <w:rFonts w:hint="eastAsia" w:ascii="宋体" w:hAnsi="宋体" w:eastAsia="宋体"/>
          <w:sz w:val="21"/>
          <w:szCs w:val="21"/>
          <w:lang w:eastAsia="zh-CN"/>
        </w:rPr>
      </w:pPr>
      <w:r>
        <w:rPr>
          <w:rFonts w:hint="eastAsia" w:ascii="宋体" w:hAnsi="宋体" w:eastAsia="宋体"/>
          <w:sz w:val="21"/>
          <w:szCs w:val="21"/>
        </w:rPr>
        <w:t>9． 6乙方在履行服务时，发现</w:t>
      </w:r>
      <w:r>
        <w:rPr>
          <w:rFonts w:hint="eastAsia" w:ascii="宋体" w:hAnsi="宋体" w:eastAsia="宋体"/>
          <w:sz w:val="21"/>
          <w:szCs w:val="21"/>
          <w:u w:val="single"/>
        </w:rPr>
        <w:t xml:space="preserve">      </w:t>
      </w:r>
      <w:r>
        <w:rPr>
          <w:rFonts w:hint="eastAsia" w:ascii="宋体" w:hAnsi="宋体" w:eastAsia="宋体"/>
          <w:sz w:val="21"/>
          <w:szCs w:val="21"/>
        </w:rPr>
        <w:t>存在潜在缺陷或故障时，有义务及时与甲方联系，共同落实防范措施，保证</w:t>
      </w:r>
      <w:r>
        <w:rPr>
          <w:rFonts w:hint="eastAsia" w:ascii="宋体" w:hAnsi="宋体" w:eastAsia="宋体"/>
          <w:sz w:val="21"/>
          <w:szCs w:val="21"/>
          <w:u w:val="single"/>
        </w:rPr>
        <w:t xml:space="preserve">      </w:t>
      </w:r>
      <w:r>
        <w:rPr>
          <w:rFonts w:hint="eastAsia" w:ascii="宋体" w:hAnsi="宋体" w:eastAsia="宋体"/>
          <w:sz w:val="21"/>
          <w:szCs w:val="21"/>
        </w:rPr>
        <w:t>正常运行。</w:t>
      </w:r>
    </w:p>
    <w:p>
      <w:pPr>
        <w:adjustRightInd w:val="0"/>
        <w:snapToGrid w:val="0"/>
        <w:spacing w:line="360" w:lineRule="auto"/>
        <w:jc w:val="left"/>
        <w:rPr>
          <w:rFonts w:hint="eastAsia" w:ascii="宋体" w:hAnsi="宋体" w:eastAsia="宋体"/>
          <w:sz w:val="21"/>
          <w:szCs w:val="21"/>
          <w:lang w:eastAsia="zh-CN"/>
        </w:rPr>
      </w:pPr>
      <w:r>
        <w:rPr>
          <w:rFonts w:hint="eastAsia" w:ascii="宋体" w:hAnsi="宋体" w:eastAsia="宋体"/>
          <w:sz w:val="21"/>
          <w:szCs w:val="21"/>
        </w:rPr>
        <w:t>9．7如果乙方确实需要第三方合作才能完成合同规定的服务内容和服务质量的，应事先征得甲方的同意，并由乙方承担第三方提供服务的费用。</w:t>
      </w:r>
    </w:p>
    <w:p>
      <w:pPr>
        <w:adjustRightInd w:val="0"/>
        <w:snapToGrid w:val="0"/>
        <w:spacing w:line="360" w:lineRule="auto"/>
        <w:jc w:val="left"/>
        <w:rPr>
          <w:rFonts w:hint="eastAsia" w:ascii="宋体" w:hAnsi="宋体" w:eastAsia="宋体"/>
          <w:sz w:val="21"/>
          <w:szCs w:val="21"/>
        </w:rPr>
      </w:pPr>
      <w:r>
        <w:rPr>
          <w:rFonts w:hint="eastAsia" w:ascii="宋体" w:hAnsi="宋体" w:eastAsia="宋体"/>
          <w:sz w:val="21"/>
          <w:szCs w:val="21"/>
        </w:rPr>
        <w:t>9．8乙方保证在服务中提供更换的部件是全新的、未使用过的。如果或证实服务是有缺陷的，包括潜在的缺陷或使用不符合要求的材料等，甲方可以根据本合同第 10 条规定以书面形式向乙方提出补救措施或索赔。</w:t>
      </w:r>
    </w:p>
    <w:p>
      <w:pPr>
        <w:adjustRightInd w:val="0"/>
        <w:snapToGrid w:val="0"/>
        <w:spacing w:line="360" w:lineRule="auto"/>
        <w:rPr>
          <w:rFonts w:hint="default" w:eastAsia="宋体"/>
          <w:lang w:val="en-US" w:eastAsia="zh-CN"/>
        </w:rPr>
      </w:pPr>
      <w:r>
        <w:rPr>
          <w:rFonts w:hint="eastAsia" w:hAnsi="宋体"/>
          <w:sz w:val="21"/>
          <w:szCs w:val="21"/>
          <w:lang w:val="en-US" w:eastAsia="zh-CN"/>
        </w:rPr>
        <w:t>9.9乙方除遵守本合同约定内容之外，其出具的涉及本项目的相关函件如果构成乙方义务的，乙方也应当予以遵守执行。</w:t>
      </w:r>
    </w:p>
    <w:p>
      <w:pPr>
        <w:adjustRightInd w:val="0"/>
        <w:snapToGrid w:val="0"/>
        <w:spacing w:line="360" w:lineRule="auto"/>
        <w:jc w:val="left"/>
        <w:rPr>
          <w:rFonts w:hint="eastAsia" w:ascii="宋体" w:hAnsi="宋体" w:eastAsia="宋体"/>
          <w:b/>
          <w:bCs/>
          <w:sz w:val="21"/>
          <w:szCs w:val="21"/>
          <w:lang w:eastAsia="zh-CN"/>
        </w:rPr>
      </w:pPr>
      <w:r>
        <w:rPr>
          <w:rFonts w:hint="eastAsia" w:ascii="宋体" w:hAnsi="宋体" w:eastAsia="宋体"/>
          <w:b/>
          <w:bCs/>
          <w:sz w:val="21"/>
          <w:szCs w:val="21"/>
        </w:rPr>
        <w:t>10．补救措施和索赔</w:t>
      </w:r>
    </w:p>
    <w:p>
      <w:pPr>
        <w:adjustRightInd w:val="0"/>
        <w:snapToGrid w:val="0"/>
        <w:spacing w:line="360" w:lineRule="auto"/>
        <w:jc w:val="left"/>
        <w:rPr>
          <w:rFonts w:hint="eastAsia" w:ascii="宋体" w:hAnsi="宋体" w:eastAsia="宋体"/>
          <w:sz w:val="21"/>
          <w:szCs w:val="21"/>
          <w:lang w:eastAsia="zh-CN"/>
        </w:rPr>
      </w:pPr>
      <w:r>
        <w:rPr>
          <w:rFonts w:hint="eastAsia" w:ascii="宋体" w:hAnsi="宋体" w:eastAsia="宋体"/>
          <w:sz w:val="21"/>
          <w:szCs w:val="21"/>
        </w:rPr>
        <w:t>10．1 甲方有权根据质量检测部门出具的检验证书向乙方提出索赔。</w:t>
      </w:r>
    </w:p>
    <w:p>
      <w:pPr>
        <w:adjustRightInd w:val="0"/>
        <w:snapToGrid w:val="0"/>
        <w:spacing w:line="360" w:lineRule="auto"/>
        <w:jc w:val="left"/>
        <w:rPr>
          <w:rFonts w:hint="eastAsia" w:ascii="宋体" w:hAnsi="宋体" w:eastAsia="宋体"/>
          <w:sz w:val="21"/>
          <w:szCs w:val="21"/>
          <w:lang w:eastAsia="zh-CN"/>
        </w:rPr>
      </w:pPr>
      <w:r>
        <w:rPr>
          <w:rFonts w:hint="eastAsia" w:ascii="宋体" w:hAnsi="宋体" w:eastAsia="宋体"/>
          <w:sz w:val="21"/>
          <w:szCs w:val="21"/>
        </w:rPr>
        <w:t>10．2 在服务期限内，如果乙方对提供服务的缺陷负有责任而甲方提出索赔，乙方应按照甲方同意的下列一种或多种方式解决索赔事宜：</w:t>
      </w:r>
    </w:p>
    <w:p>
      <w:pPr>
        <w:adjustRightInd w:val="0"/>
        <w:snapToGrid w:val="0"/>
        <w:spacing w:line="360" w:lineRule="auto"/>
        <w:jc w:val="left"/>
        <w:rPr>
          <w:rFonts w:hint="eastAsia" w:ascii="宋体" w:hAnsi="宋体" w:eastAsia="宋体"/>
          <w:sz w:val="21"/>
          <w:szCs w:val="21"/>
          <w:lang w:eastAsia="zh-CN"/>
        </w:rPr>
      </w:pPr>
      <w:r>
        <w:rPr>
          <w:rFonts w:hint="eastAsia" w:ascii="宋体" w:hAnsi="宋体" w:eastAsia="宋体"/>
          <w:sz w:val="21"/>
          <w:szCs w:val="21"/>
        </w:rPr>
        <w:t>（1）根据服务的质量状况以及甲方所遭受的损失，经过买卖双方商定降低服务的价格。</w:t>
      </w:r>
    </w:p>
    <w:p>
      <w:pPr>
        <w:adjustRightInd w:val="0"/>
        <w:snapToGrid w:val="0"/>
        <w:spacing w:line="360" w:lineRule="auto"/>
        <w:jc w:val="left"/>
        <w:rPr>
          <w:rFonts w:hint="eastAsia" w:ascii="宋体" w:hAnsi="宋体" w:eastAsia="宋体"/>
          <w:sz w:val="21"/>
          <w:szCs w:val="21"/>
          <w:lang w:eastAsia="zh-CN"/>
        </w:rPr>
      </w:pPr>
      <w:r>
        <w:rPr>
          <w:rFonts w:hint="eastAsia" w:ascii="宋体" w:hAnsi="宋体" w:eastAsia="宋体"/>
          <w:sz w:val="21"/>
          <w:szCs w:val="21"/>
        </w:rPr>
        <w:t>（2）乙方应在接到甲方通知后七天内，根据合同的规定负责采用符合规定的规格、质量和性能要求的新零件、部件和设备来更换在服务中有缺陷的部分或修补缺陷部分，其费用由乙方负担。</w:t>
      </w:r>
    </w:p>
    <w:p>
      <w:pPr>
        <w:adjustRightInd w:val="0"/>
        <w:snapToGrid w:val="0"/>
        <w:spacing w:line="360" w:lineRule="auto"/>
        <w:jc w:val="left"/>
        <w:rPr>
          <w:rFonts w:ascii="宋体" w:hAnsi="宋体" w:eastAsia="宋体"/>
          <w:sz w:val="21"/>
          <w:szCs w:val="21"/>
        </w:rPr>
      </w:pPr>
      <w:r>
        <w:rPr>
          <w:rFonts w:hint="eastAsia" w:ascii="宋体" w:hAnsi="宋体" w:eastAsia="宋体"/>
          <w:sz w:val="21"/>
          <w:szCs w:val="21"/>
        </w:rPr>
        <w:t>（3）如果在甲方发出索赔通知后十天内乙方未作答复，上述索赔应视为已被乙方接受。如果乙方未能在甲方发出索赔通知后十天内或甲方同意延长的期限内，按照上述规定的任何一种方法采取补救措施，甲方有权从应付的合同款项中扣除索赔金额，如不足以弥补甲方损失的，甲方有权进一步要求乙方赔偿。</w:t>
      </w:r>
    </w:p>
    <w:p>
      <w:pPr>
        <w:adjustRightInd w:val="0"/>
        <w:snapToGrid w:val="0"/>
        <w:spacing w:line="360" w:lineRule="auto"/>
        <w:jc w:val="left"/>
        <w:rPr>
          <w:rFonts w:hint="eastAsia" w:ascii="宋体" w:hAnsi="宋体" w:eastAsia="宋体"/>
          <w:b/>
          <w:bCs/>
          <w:sz w:val="21"/>
          <w:szCs w:val="21"/>
          <w:lang w:eastAsia="zh-CN"/>
        </w:rPr>
      </w:pPr>
      <w:r>
        <w:rPr>
          <w:rFonts w:hint="eastAsia" w:ascii="宋体" w:hAnsi="宋体" w:eastAsia="宋体"/>
          <w:b/>
          <w:bCs/>
          <w:sz w:val="21"/>
          <w:szCs w:val="21"/>
        </w:rPr>
        <w:t>11．履约延误</w:t>
      </w:r>
    </w:p>
    <w:p>
      <w:pPr>
        <w:adjustRightInd w:val="0"/>
        <w:snapToGrid w:val="0"/>
        <w:spacing w:line="360" w:lineRule="auto"/>
        <w:jc w:val="left"/>
        <w:rPr>
          <w:rFonts w:hint="eastAsia" w:ascii="宋体" w:hAnsi="宋体" w:eastAsia="宋体"/>
          <w:sz w:val="21"/>
          <w:szCs w:val="21"/>
          <w:lang w:eastAsia="zh-CN"/>
        </w:rPr>
      </w:pPr>
      <w:r>
        <w:rPr>
          <w:rFonts w:hint="eastAsia" w:ascii="宋体" w:hAnsi="宋体" w:eastAsia="宋体"/>
          <w:sz w:val="21"/>
          <w:szCs w:val="21"/>
        </w:rPr>
        <w:t>11．1 乙方应按照合同规定的时间、地点提供服务。</w:t>
      </w:r>
    </w:p>
    <w:p>
      <w:pPr>
        <w:adjustRightInd w:val="0"/>
        <w:snapToGrid w:val="0"/>
        <w:spacing w:line="360" w:lineRule="auto"/>
        <w:jc w:val="left"/>
        <w:rPr>
          <w:rFonts w:hint="eastAsia" w:ascii="宋体" w:hAnsi="宋体" w:eastAsia="宋体"/>
          <w:sz w:val="21"/>
          <w:szCs w:val="21"/>
          <w:lang w:eastAsia="zh-CN"/>
        </w:rPr>
      </w:pPr>
      <w:r>
        <w:rPr>
          <w:rFonts w:hint="eastAsia" w:ascii="宋体" w:hAnsi="宋体" w:eastAsia="宋体"/>
          <w:sz w:val="21"/>
          <w:szCs w:val="21"/>
        </w:rPr>
        <w:t>11．2 如乙方无正当理由而拖延服务，甲方有权没收乙方提供的履约保证金，或解除合同并追究乙方的违约责任。</w:t>
      </w:r>
    </w:p>
    <w:p>
      <w:pPr>
        <w:adjustRightInd w:val="0"/>
        <w:snapToGrid w:val="0"/>
        <w:spacing w:line="360" w:lineRule="auto"/>
        <w:jc w:val="left"/>
        <w:rPr>
          <w:rFonts w:ascii="宋体" w:hAnsi="宋体" w:eastAsia="宋体"/>
          <w:sz w:val="21"/>
          <w:szCs w:val="21"/>
        </w:rPr>
      </w:pPr>
      <w:r>
        <w:rPr>
          <w:rFonts w:hint="eastAsia" w:ascii="宋体" w:hAnsi="宋体" w:eastAsia="宋体"/>
          <w:sz w:val="21"/>
          <w:szCs w:val="21"/>
        </w:rPr>
        <w:t>11．3 在履行合同过程中，如果乙方可能遇到妨碍按时提供服务的情况时，应及时以书面形式将拖延的事实、可能拖延的期限和理由通知甲方。甲方在收到乙方通知后，应尽快对情况进行评价，并确定是否同意延期提供服务。</w:t>
      </w:r>
    </w:p>
    <w:p>
      <w:pPr>
        <w:adjustRightInd w:val="0"/>
        <w:snapToGrid w:val="0"/>
        <w:spacing w:line="360" w:lineRule="auto"/>
        <w:jc w:val="left"/>
        <w:rPr>
          <w:rFonts w:hint="eastAsia" w:ascii="宋体" w:hAnsi="宋体" w:eastAsia="宋体"/>
          <w:b/>
          <w:bCs/>
          <w:sz w:val="21"/>
          <w:szCs w:val="21"/>
          <w:lang w:eastAsia="zh-CN"/>
        </w:rPr>
      </w:pPr>
      <w:r>
        <w:rPr>
          <w:rFonts w:hint="eastAsia" w:ascii="宋体" w:hAnsi="宋体" w:eastAsia="宋体"/>
          <w:b/>
          <w:bCs/>
          <w:sz w:val="21"/>
          <w:szCs w:val="21"/>
        </w:rPr>
        <w:t>12．误期赔偿</w:t>
      </w:r>
    </w:p>
    <w:p>
      <w:pPr>
        <w:adjustRightInd w:val="0"/>
        <w:snapToGrid w:val="0"/>
        <w:spacing w:line="360" w:lineRule="auto"/>
        <w:jc w:val="left"/>
        <w:rPr>
          <w:rFonts w:ascii="宋体" w:hAnsi="宋体" w:eastAsia="宋体"/>
          <w:sz w:val="21"/>
          <w:szCs w:val="21"/>
        </w:rPr>
      </w:pPr>
      <w:r>
        <w:rPr>
          <w:rFonts w:hint="eastAsia" w:ascii="宋体" w:hAnsi="宋体" w:eastAsia="宋体"/>
          <w:sz w:val="21"/>
          <w:szCs w:val="21"/>
        </w:rPr>
        <w:t>12．1除合同第13条规定外，如果乙方没有按照合同规定的时间提供服务，甲方可以应付的合同款项中扣除误期赔偿费而不影响合同项下的其他补救方法，赔偿费按每（天）赔偿延期服务的服务费用的百分之零点五（0.5%）计收，直至提供服务为止。但误期赔偿费的最高限额不超过合同价的百分之五（5%）。（一周按七天计算，不足七天按一周计算。）一旦达到误期赔偿的最高限额，甲方可考虑终止合同。</w:t>
      </w:r>
    </w:p>
    <w:p>
      <w:pPr>
        <w:adjustRightInd w:val="0"/>
        <w:snapToGrid w:val="0"/>
        <w:spacing w:line="360" w:lineRule="auto"/>
        <w:jc w:val="left"/>
        <w:rPr>
          <w:rFonts w:hint="eastAsia" w:ascii="宋体" w:hAnsi="宋体" w:eastAsia="宋体"/>
          <w:b/>
          <w:bCs/>
          <w:sz w:val="21"/>
          <w:szCs w:val="21"/>
          <w:lang w:eastAsia="zh-CN"/>
        </w:rPr>
      </w:pPr>
      <w:r>
        <w:rPr>
          <w:rFonts w:hint="eastAsia" w:ascii="宋体" w:hAnsi="宋体" w:eastAsia="宋体"/>
          <w:b/>
          <w:bCs/>
          <w:sz w:val="21"/>
          <w:szCs w:val="21"/>
        </w:rPr>
        <w:t>13．不可抗力</w:t>
      </w:r>
    </w:p>
    <w:p>
      <w:pPr>
        <w:adjustRightInd w:val="0"/>
        <w:snapToGrid w:val="0"/>
        <w:spacing w:line="360" w:lineRule="auto"/>
        <w:jc w:val="left"/>
        <w:rPr>
          <w:rFonts w:hint="eastAsia" w:ascii="宋体" w:hAnsi="宋体" w:eastAsia="宋体"/>
          <w:sz w:val="21"/>
          <w:szCs w:val="21"/>
          <w:lang w:eastAsia="zh-CN"/>
        </w:rPr>
      </w:pPr>
      <w:r>
        <w:rPr>
          <w:rFonts w:hint="eastAsia" w:ascii="宋体" w:hAnsi="宋体" w:eastAsia="宋体"/>
          <w:sz w:val="21"/>
          <w:szCs w:val="21"/>
        </w:rPr>
        <w:t>13．1 如果合同各方因不可抗力而导致合同实施延误或不能履行合同义务的话，不应该承担误期赔偿或不能履行合同义务的责任。</w:t>
      </w:r>
    </w:p>
    <w:p>
      <w:pPr>
        <w:adjustRightInd w:val="0"/>
        <w:snapToGrid w:val="0"/>
        <w:spacing w:line="360" w:lineRule="auto"/>
        <w:jc w:val="left"/>
        <w:rPr>
          <w:rFonts w:hint="eastAsia" w:ascii="宋体" w:hAnsi="宋体" w:eastAsia="宋体"/>
          <w:sz w:val="21"/>
          <w:szCs w:val="21"/>
          <w:lang w:eastAsia="zh-CN"/>
        </w:rPr>
      </w:pPr>
      <w:r>
        <w:rPr>
          <w:rFonts w:hint="eastAsia" w:ascii="宋体" w:hAnsi="宋体" w:eastAsia="宋体"/>
          <w:sz w:val="21"/>
          <w:szCs w:val="21"/>
        </w:rPr>
        <w:t>13．2 本条所述的“不可抗力”系指那些双方不可预见、不可避免、不可克服的事件，但不包括双方的违约或疏忽。这些事件包括但不限于：战争、严重火灾、洪水、台风、地震、国家政策的重大变化，以及双方商定的其他事件。</w:t>
      </w:r>
    </w:p>
    <w:p>
      <w:pPr>
        <w:adjustRightInd w:val="0"/>
        <w:snapToGrid w:val="0"/>
        <w:spacing w:line="360" w:lineRule="auto"/>
        <w:jc w:val="left"/>
        <w:rPr>
          <w:rFonts w:ascii="宋体" w:hAnsi="宋体" w:eastAsia="宋体"/>
          <w:sz w:val="21"/>
          <w:szCs w:val="21"/>
        </w:rPr>
      </w:pPr>
      <w:r>
        <w:rPr>
          <w:rFonts w:hint="eastAsia" w:ascii="宋体" w:hAnsi="宋体" w:eastAsia="宋体"/>
          <w:sz w:val="21"/>
          <w:szCs w:val="21"/>
        </w:rPr>
        <w:t>13．3 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的协议。</w:t>
      </w:r>
    </w:p>
    <w:p>
      <w:pPr>
        <w:adjustRightInd w:val="0"/>
        <w:snapToGrid w:val="0"/>
        <w:spacing w:line="360" w:lineRule="auto"/>
        <w:jc w:val="left"/>
        <w:rPr>
          <w:rFonts w:hint="eastAsia" w:ascii="宋体" w:hAnsi="宋体" w:eastAsia="宋体"/>
          <w:b/>
          <w:bCs/>
          <w:sz w:val="21"/>
          <w:szCs w:val="21"/>
          <w:lang w:eastAsia="zh-CN"/>
        </w:rPr>
      </w:pPr>
      <w:r>
        <w:rPr>
          <w:rFonts w:hint="eastAsia" w:ascii="宋体" w:hAnsi="宋体" w:eastAsia="宋体"/>
          <w:b/>
          <w:bCs/>
          <w:sz w:val="21"/>
          <w:szCs w:val="21"/>
        </w:rPr>
        <w:t>14．履约保证金</w:t>
      </w:r>
    </w:p>
    <w:p>
      <w:pPr>
        <w:adjustRightInd w:val="0"/>
        <w:snapToGrid w:val="0"/>
        <w:spacing w:line="360" w:lineRule="auto"/>
        <w:jc w:val="left"/>
        <w:rPr>
          <w:rFonts w:hint="eastAsia" w:ascii="宋体" w:hAnsi="宋体" w:eastAsia="宋体"/>
          <w:sz w:val="21"/>
          <w:szCs w:val="21"/>
          <w:lang w:eastAsia="zh-CN"/>
        </w:rPr>
      </w:pPr>
      <w:r>
        <w:rPr>
          <w:rFonts w:hint="eastAsia" w:ascii="宋体" w:hAnsi="宋体" w:eastAsia="宋体"/>
          <w:sz w:val="21"/>
          <w:szCs w:val="21"/>
        </w:rPr>
        <w:t>14．1在本合同签署之前，乙方应向甲方提交一笔金额为</w:t>
      </w:r>
      <w:r>
        <w:rPr>
          <w:rFonts w:hint="eastAsia" w:ascii="宋体" w:hAnsi="宋体" w:eastAsia="宋体"/>
          <w:sz w:val="21"/>
          <w:szCs w:val="21"/>
          <w:u w:val="single"/>
        </w:rPr>
        <w:t xml:space="preserve">       </w:t>
      </w:r>
      <w:r>
        <w:rPr>
          <w:rFonts w:hint="eastAsia" w:ascii="宋体" w:hAnsi="宋体" w:eastAsia="宋体"/>
          <w:sz w:val="21"/>
          <w:szCs w:val="21"/>
        </w:rPr>
        <w:t>元人民币的履约保证金。履约保证金应自出具之日起至全部服务按本合同规定验收合格后三十天内有效。在全部服务按本合同规定验收合格后15日内，甲方应一次性将履约保证金无息退还乙方。</w:t>
      </w:r>
    </w:p>
    <w:p>
      <w:pPr>
        <w:adjustRightInd w:val="0"/>
        <w:snapToGrid w:val="0"/>
        <w:spacing w:line="360" w:lineRule="auto"/>
        <w:jc w:val="left"/>
        <w:rPr>
          <w:rFonts w:hint="eastAsia" w:ascii="宋体" w:hAnsi="宋体" w:eastAsia="宋体"/>
          <w:sz w:val="21"/>
          <w:szCs w:val="21"/>
          <w:lang w:eastAsia="zh-CN"/>
        </w:rPr>
      </w:pPr>
      <w:r>
        <w:rPr>
          <w:rFonts w:hint="eastAsia" w:ascii="宋体" w:hAnsi="宋体" w:eastAsia="宋体"/>
          <w:sz w:val="21"/>
          <w:szCs w:val="21"/>
        </w:rPr>
        <w:t>14．2履约保证金可以采用支票或者甲方认可的银行出具的保函。乙方提交履约保证金所需的有关费用均由其自行负担。</w:t>
      </w:r>
    </w:p>
    <w:p>
      <w:pPr>
        <w:adjustRightInd w:val="0"/>
        <w:snapToGrid w:val="0"/>
        <w:spacing w:line="360" w:lineRule="auto"/>
        <w:jc w:val="left"/>
        <w:rPr>
          <w:rFonts w:ascii="宋体" w:hAnsi="宋体" w:eastAsia="宋体"/>
          <w:sz w:val="21"/>
          <w:szCs w:val="21"/>
        </w:rPr>
      </w:pPr>
      <w:r>
        <w:rPr>
          <w:rFonts w:hint="eastAsia" w:ascii="宋体" w:hAnsi="宋体" w:eastAsia="宋体"/>
          <w:sz w:val="21"/>
          <w:szCs w:val="21"/>
        </w:rPr>
        <w:t>14．3如乙方未能履行本合同规定的任何义务，则甲方有权从履约保证金中得到补偿。履约保证金不足弥补甲方损失的，乙方仍需承担赔偿责任。</w:t>
      </w:r>
    </w:p>
    <w:p>
      <w:pPr>
        <w:adjustRightInd w:val="0"/>
        <w:snapToGrid w:val="0"/>
        <w:spacing w:line="360" w:lineRule="auto"/>
        <w:jc w:val="left"/>
        <w:rPr>
          <w:rFonts w:hint="eastAsia" w:ascii="宋体" w:hAnsi="宋体" w:eastAsia="宋体"/>
          <w:b/>
          <w:bCs/>
          <w:sz w:val="21"/>
          <w:szCs w:val="21"/>
          <w:lang w:eastAsia="zh-CN"/>
        </w:rPr>
      </w:pPr>
      <w:r>
        <w:rPr>
          <w:rFonts w:hint="eastAsia" w:ascii="宋体" w:hAnsi="宋体" w:eastAsia="宋体"/>
          <w:b/>
          <w:bCs/>
          <w:sz w:val="21"/>
          <w:szCs w:val="21"/>
        </w:rPr>
        <w:t>15．争端的解决</w:t>
      </w:r>
    </w:p>
    <w:p>
      <w:pPr>
        <w:adjustRightInd w:val="0"/>
        <w:snapToGrid w:val="0"/>
        <w:spacing w:line="360" w:lineRule="auto"/>
        <w:jc w:val="left"/>
        <w:rPr>
          <w:rFonts w:hint="eastAsia" w:ascii="宋体" w:hAnsi="宋体" w:eastAsia="宋体"/>
          <w:sz w:val="21"/>
          <w:szCs w:val="21"/>
          <w:lang w:eastAsia="zh-CN"/>
        </w:rPr>
      </w:pPr>
      <w:r>
        <w:rPr>
          <w:rFonts w:hint="eastAsia" w:ascii="宋体" w:hAnsi="宋体" w:eastAsia="宋体"/>
          <w:sz w:val="21"/>
          <w:szCs w:val="21"/>
        </w:rPr>
        <w:t>15.1 合同各方应通过友好协商，解决在执行本合同过程中所发生的或与本合同有关的一切争端。如从协商开始十天内仍不能解决，可以向同级政府采购监管部门提请调解。</w:t>
      </w:r>
    </w:p>
    <w:p>
      <w:pPr>
        <w:adjustRightInd w:val="0"/>
        <w:snapToGrid w:val="0"/>
        <w:spacing w:line="360" w:lineRule="auto"/>
        <w:jc w:val="left"/>
        <w:rPr>
          <w:rFonts w:hint="eastAsia" w:ascii="宋体" w:hAnsi="宋体" w:eastAsia="宋体"/>
          <w:sz w:val="21"/>
          <w:szCs w:val="21"/>
          <w:lang w:eastAsia="zh-CN"/>
        </w:rPr>
      </w:pPr>
      <w:r>
        <w:rPr>
          <w:rFonts w:hint="eastAsia" w:ascii="宋体" w:hAnsi="宋体" w:eastAsia="宋体"/>
          <w:sz w:val="21"/>
          <w:szCs w:val="21"/>
        </w:rPr>
        <w:t>15．2 调解不成则提交上海仲裁委员会根据其仲裁规则和程序进行仲裁。</w:t>
      </w:r>
    </w:p>
    <w:p>
      <w:pPr>
        <w:adjustRightInd w:val="0"/>
        <w:snapToGrid w:val="0"/>
        <w:spacing w:line="360" w:lineRule="auto"/>
        <w:jc w:val="left"/>
        <w:rPr>
          <w:rFonts w:ascii="宋体" w:hAnsi="宋体" w:eastAsia="宋体"/>
          <w:sz w:val="21"/>
          <w:szCs w:val="21"/>
        </w:rPr>
      </w:pPr>
      <w:r>
        <w:rPr>
          <w:rFonts w:hint="eastAsia" w:ascii="宋体" w:hAnsi="宋体" w:eastAsia="宋体"/>
          <w:sz w:val="21"/>
          <w:szCs w:val="21"/>
        </w:rPr>
        <w:t>15．3 如仲裁事项不影响合同其它部分的履行，则在仲裁期间，除正在进行仲裁的部分外，本合同的其它部分应继续执行。</w:t>
      </w:r>
    </w:p>
    <w:p>
      <w:pPr>
        <w:adjustRightInd w:val="0"/>
        <w:snapToGrid w:val="0"/>
        <w:spacing w:line="360" w:lineRule="auto"/>
        <w:jc w:val="left"/>
        <w:rPr>
          <w:rFonts w:hint="eastAsia" w:ascii="宋体" w:hAnsi="宋体" w:eastAsia="宋体"/>
          <w:b/>
          <w:bCs/>
          <w:sz w:val="21"/>
          <w:szCs w:val="21"/>
          <w:lang w:eastAsia="zh-CN"/>
        </w:rPr>
      </w:pPr>
      <w:r>
        <w:rPr>
          <w:rFonts w:hint="eastAsia" w:ascii="宋体" w:hAnsi="宋体" w:eastAsia="宋体"/>
          <w:b/>
          <w:bCs/>
          <w:sz w:val="21"/>
          <w:szCs w:val="21"/>
        </w:rPr>
        <w:t>16．违约终止合同</w:t>
      </w:r>
    </w:p>
    <w:p>
      <w:pPr>
        <w:adjustRightInd w:val="0"/>
        <w:snapToGrid w:val="0"/>
        <w:spacing w:line="360" w:lineRule="auto"/>
        <w:jc w:val="left"/>
        <w:rPr>
          <w:rFonts w:hint="eastAsia" w:ascii="宋体" w:hAnsi="宋体" w:eastAsia="宋体"/>
          <w:sz w:val="21"/>
          <w:szCs w:val="21"/>
          <w:lang w:eastAsia="zh-CN"/>
        </w:rPr>
      </w:pPr>
      <w:r>
        <w:rPr>
          <w:rFonts w:hint="eastAsia" w:ascii="宋体" w:hAnsi="宋体" w:eastAsia="宋体"/>
          <w:sz w:val="21"/>
          <w:szCs w:val="21"/>
        </w:rPr>
        <w:t>16．1 在甲方对乙方违约而采取的任何补救措施不受影响的情况下，甲方可在下列情况下向乙方发出书面通知书，提出终止部分或全部合同。</w:t>
      </w:r>
    </w:p>
    <w:p>
      <w:pPr>
        <w:adjustRightInd w:val="0"/>
        <w:snapToGrid w:val="0"/>
        <w:spacing w:line="360" w:lineRule="auto"/>
        <w:jc w:val="left"/>
        <w:rPr>
          <w:rFonts w:hint="eastAsia" w:ascii="宋体" w:hAnsi="宋体" w:eastAsia="宋体"/>
          <w:sz w:val="21"/>
          <w:szCs w:val="21"/>
          <w:lang w:eastAsia="zh-CN"/>
        </w:rPr>
      </w:pPr>
      <w:r>
        <w:rPr>
          <w:rFonts w:hint="eastAsia" w:ascii="宋体" w:hAnsi="宋体" w:eastAsia="宋体"/>
          <w:sz w:val="21"/>
          <w:szCs w:val="21"/>
        </w:rPr>
        <w:t>（1）如果乙方未能在合同规定的期限或甲方同意延长的期限内提供部分或全部服务。</w:t>
      </w:r>
    </w:p>
    <w:p>
      <w:pPr>
        <w:adjustRightInd w:val="0"/>
        <w:snapToGrid w:val="0"/>
        <w:spacing w:line="360" w:lineRule="auto"/>
        <w:jc w:val="left"/>
        <w:rPr>
          <w:rFonts w:hint="eastAsia" w:ascii="宋体" w:hAnsi="宋体" w:eastAsia="宋体"/>
          <w:sz w:val="21"/>
          <w:szCs w:val="21"/>
          <w:lang w:eastAsia="zh-CN"/>
        </w:rPr>
      </w:pPr>
      <w:r>
        <w:rPr>
          <w:rFonts w:hint="eastAsia" w:ascii="宋体" w:hAnsi="宋体" w:eastAsia="宋体"/>
          <w:sz w:val="21"/>
          <w:szCs w:val="21"/>
        </w:rPr>
        <w:t>（2）如果乙方未能履行合同规定的其它义务。</w:t>
      </w:r>
    </w:p>
    <w:p>
      <w:pPr>
        <w:adjustRightInd w:val="0"/>
        <w:snapToGrid w:val="0"/>
        <w:spacing w:line="360" w:lineRule="auto"/>
        <w:jc w:val="left"/>
        <w:rPr>
          <w:rFonts w:ascii="宋体" w:hAnsi="宋体" w:eastAsia="宋体"/>
          <w:sz w:val="21"/>
          <w:szCs w:val="21"/>
        </w:rPr>
      </w:pPr>
      <w:r>
        <w:rPr>
          <w:rFonts w:hint="eastAsia" w:ascii="宋体" w:hAnsi="宋体" w:eastAsia="宋体"/>
          <w:sz w:val="21"/>
          <w:szCs w:val="21"/>
        </w:rPr>
        <w:t>16．2  如果乙方在履行合同过程中有不正当竞争行为，甲方有权解除合同，并按《中华人民共和国反不正当竞争法》之规定由有关部门追究其法律责任。</w:t>
      </w:r>
    </w:p>
    <w:p>
      <w:pPr>
        <w:adjustRightInd w:val="0"/>
        <w:snapToGrid w:val="0"/>
        <w:spacing w:line="360" w:lineRule="auto"/>
        <w:jc w:val="left"/>
        <w:rPr>
          <w:rFonts w:hint="eastAsia" w:ascii="宋体" w:hAnsi="宋体" w:eastAsia="宋体"/>
          <w:b/>
          <w:bCs/>
          <w:sz w:val="21"/>
          <w:szCs w:val="21"/>
          <w:lang w:eastAsia="zh-CN"/>
        </w:rPr>
      </w:pPr>
      <w:r>
        <w:rPr>
          <w:rFonts w:hint="eastAsia" w:ascii="宋体" w:hAnsi="宋体" w:eastAsia="宋体"/>
          <w:b/>
          <w:bCs/>
          <w:sz w:val="21"/>
          <w:szCs w:val="21"/>
        </w:rPr>
        <w:t>17．破产终止合同</w:t>
      </w:r>
    </w:p>
    <w:p>
      <w:pPr>
        <w:adjustRightInd w:val="0"/>
        <w:snapToGrid w:val="0"/>
        <w:spacing w:line="360" w:lineRule="auto"/>
        <w:jc w:val="left"/>
        <w:rPr>
          <w:rFonts w:ascii="宋体" w:hAnsi="宋体" w:eastAsia="宋体"/>
          <w:sz w:val="21"/>
          <w:szCs w:val="21"/>
        </w:rPr>
      </w:pPr>
      <w:r>
        <w:rPr>
          <w:rFonts w:hint="eastAsia" w:ascii="宋体" w:hAnsi="宋体" w:eastAsia="宋体"/>
          <w:sz w:val="21"/>
          <w:szCs w:val="21"/>
        </w:rPr>
        <w:t>17．1 如果乙方丧失履约能力或被宣告破产，甲方可在任何时候以书面形式通知乙方终止合同而不给乙方补偿。该终止合同将不损害或影响甲方已经采取或将要采取任何行动或补救措施的权利。</w:t>
      </w:r>
    </w:p>
    <w:p>
      <w:pPr>
        <w:adjustRightInd w:val="0"/>
        <w:snapToGrid w:val="0"/>
        <w:spacing w:line="360" w:lineRule="auto"/>
        <w:jc w:val="left"/>
        <w:rPr>
          <w:rFonts w:hint="eastAsia" w:ascii="宋体" w:hAnsi="宋体" w:eastAsia="宋体"/>
          <w:b/>
          <w:bCs/>
          <w:sz w:val="21"/>
          <w:szCs w:val="21"/>
          <w:lang w:eastAsia="zh-CN"/>
        </w:rPr>
      </w:pPr>
      <w:r>
        <w:rPr>
          <w:rFonts w:hint="eastAsia" w:ascii="宋体" w:hAnsi="宋体" w:eastAsia="宋体"/>
          <w:b/>
          <w:bCs/>
          <w:sz w:val="21"/>
          <w:szCs w:val="21"/>
        </w:rPr>
        <w:t>18．合同转让和分包</w:t>
      </w:r>
    </w:p>
    <w:p>
      <w:pPr>
        <w:adjustRightInd w:val="0"/>
        <w:snapToGrid w:val="0"/>
        <w:spacing w:line="360" w:lineRule="auto"/>
        <w:jc w:val="left"/>
        <w:rPr>
          <w:rFonts w:ascii="宋体" w:hAnsi="宋体" w:eastAsia="宋体"/>
          <w:sz w:val="21"/>
          <w:szCs w:val="21"/>
        </w:rPr>
      </w:pPr>
      <w:r>
        <w:rPr>
          <w:rFonts w:hint="eastAsia" w:ascii="宋体" w:hAnsi="宋体" w:eastAsia="宋体"/>
          <w:sz w:val="21"/>
          <w:szCs w:val="21"/>
        </w:rPr>
        <w:t>18.1 除甲方事先书面同意外，乙方不得转让和分包其应履行的合同义务。</w:t>
      </w:r>
    </w:p>
    <w:p>
      <w:pPr>
        <w:adjustRightInd w:val="0"/>
        <w:snapToGrid w:val="0"/>
        <w:spacing w:line="360" w:lineRule="auto"/>
        <w:jc w:val="left"/>
        <w:rPr>
          <w:rFonts w:hint="eastAsia" w:ascii="宋体" w:hAnsi="宋体" w:eastAsia="宋体"/>
          <w:b/>
          <w:bCs/>
          <w:sz w:val="21"/>
          <w:szCs w:val="21"/>
          <w:lang w:eastAsia="zh-CN"/>
        </w:rPr>
      </w:pPr>
      <w:r>
        <w:rPr>
          <w:rFonts w:hint="eastAsia" w:ascii="宋体" w:hAnsi="宋体" w:eastAsia="宋体"/>
          <w:b/>
          <w:bCs/>
          <w:sz w:val="21"/>
          <w:szCs w:val="21"/>
        </w:rPr>
        <w:t>19．合同生效</w:t>
      </w:r>
    </w:p>
    <w:p>
      <w:pPr>
        <w:adjustRightInd w:val="0"/>
        <w:snapToGrid w:val="0"/>
        <w:spacing w:line="360" w:lineRule="auto"/>
        <w:jc w:val="left"/>
        <w:rPr>
          <w:rFonts w:hint="eastAsia" w:ascii="宋体" w:hAnsi="宋体" w:eastAsia="宋体"/>
          <w:sz w:val="21"/>
          <w:szCs w:val="21"/>
          <w:lang w:eastAsia="zh-CN"/>
        </w:rPr>
      </w:pPr>
      <w:r>
        <w:rPr>
          <w:rFonts w:hint="eastAsia" w:ascii="宋体" w:hAnsi="宋体" w:eastAsia="宋体"/>
          <w:sz w:val="21"/>
          <w:szCs w:val="21"/>
        </w:rPr>
        <w:t>19．1 本合同在合同各方签字盖章并且甲方收到乙方提供的履约保证金后生效。</w:t>
      </w:r>
    </w:p>
    <w:p>
      <w:pPr>
        <w:adjustRightInd w:val="0"/>
        <w:snapToGrid w:val="0"/>
        <w:spacing w:line="360" w:lineRule="auto"/>
        <w:jc w:val="left"/>
        <w:rPr>
          <w:rFonts w:ascii="宋体" w:hAnsi="宋体" w:eastAsia="宋体"/>
          <w:sz w:val="21"/>
          <w:szCs w:val="21"/>
        </w:rPr>
      </w:pPr>
      <w:r>
        <w:rPr>
          <w:rFonts w:hint="eastAsia" w:ascii="宋体" w:hAnsi="宋体" w:eastAsia="宋体"/>
          <w:sz w:val="21"/>
          <w:szCs w:val="21"/>
        </w:rPr>
        <w:t>19．2 本合同一式</w:t>
      </w:r>
      <w:r>
        <w:rPr>
          <w:rFonts w:hint="eastAsia" w:ascii="宋体" w:hAnsi="宋体" w:eastAsia="宋体"/>
          <w:sz w:val="21"/>
          <w:szCs w:val="21"/>
          <w:u w:val="single"/>
        </w:rPr>
        <w:t xml:space="preserve">       </w:t>
      </w:r>
      <w:r>
        <w:rPr>
          <w:rFonts w:hint="eastAsia" w:ascii="宋体" w:hAnsi="宋体" w:eastAsia="宋体"/>
          <w:sz w:val="21"/>
          <w:szCs w:val="21"/>
        </w:rPr>
        <w:t>份，甲乙双方各执一份。</w:t>
      </w:r>
    </w:p>
    <w:p>
      <w:pPr>
        <w:adjustRightInd w:val="0"/>
        <w:snapToGrid w:val="0"/>
        <w:spacing w:line="360" w:lineRule="auto"/>
        <w:jc w:val="left"/>
        <w:rPr>
          <w:rFonts w:hint="eastAsia" w:ascii="宋体" w:hAnsi="宋体" w:eastAsia="宋体"/>
          <w:b/>
          <w:bCs/>
          <w:sz w:val="21"/>
          <w:szCs w:val="21"/>
          <w:lang w:eastAsia="zh-CN"/>
        </w:rPr>
      </w:pPr>
      <w:r>
        <w:rPr>
          <w:rFonts w:hint="eastAsia" w:ascii="宋体" w:hAnsi="宋体" w:eastAsia="宋体"/>
          <w:b/>
          <w:bCs/>
          <w:sz w:val="21"/>
          <w:szCs w:val="21"/>
        </w:rPr>
        <w:t>20. 合同附件</w:t>
      </w:r>
    </w:p>
    <w:p>
      <w:pPr>
        <w:adjustRightInd w:val="0"/>
        <w:snapToGrid w:val="0"/>
        <w:spacing w:line="360" w:lineRule="auto"/>
        <w:jc w:val="left"/>
        <w:rPr>
          <w:rFonts w:hint="eastAsia" w:ascii="宋体" w:hAnsi="宋体" w:eastAsia="宋体"/>
          <w:sz w:val="21"/>
          <w:szCs w:val="21"/>
          <w:lang w:eastAsia="zh-CN"/>
        </w:rPr>
      </w:pPr>
      <w:r>
        <w:rPr>
          <w:rFonts w:hint="eastAsia" w:ascii="宋体" w:hAnsi="宋体" w:eastAsia="宋体"/>
          <w:sz w:val="21"/>
          <w:szCs w:val="21"/>
        </w:rPr>
        <w:t>20. 1 本合同附件包括： 招标</w:t>
      </w:r>
      <w:r>
        <w:rPr>
          <w:rFonts w:hint="eastAsia" w:ascii="宋体" w:hAnsi="宋体" w:eastAsia="宋体"/>
          <w:sz w:val="21"/>
          <w:szCs w:val="21"/>
          <w:lang w:eastAsia="zh-CN"/>
        </w:rPr>
        <w:t>（</w:t>
      </w:r>
      <w:r>
        <w:rPr>
          <w:rFonts w:hint="eastAsia" w:ascii="宋体" w:hAnsi="宋体" w:eastAsia="宋体"/>
          <w:sz w:val="21"/>
          <w:szCs w:val="21"/>
          <w:lang w:val="en-US" w:eastAsia="zh-CN"/>
        </w:rPr>
        <w:t>采购</w:t>
      </w:r>
      <w:r>
        <w:rPr>
          <w:rFonts w:hint="eastAsia" w:ascii="宋体" w:hAnsi="宋体" w:eastAsia="宋体"/>
          <w:sz w:val="21"/>
          <w:szCs w:val="21"/>
          <w:lang w:eastAsia="zh-CN"/>
        </w:rPr>
        <w:t>）</w:t>
      </w:r>
      <w:r>
        <w:rPr>
          <w:rFonts w:hint="eastAsia" w:ascii="宋体" w:hAnsi="宋体" w:eastAsia="宋体"/>
          <w:sz w:val="21"/>
          <w:szCs w:val="21"/>
        </w:rPr>
        <w:t>文件、投标（响应）文件</w:t>
      </w:r>
      <w:r>
        <w:rPr>
          <w:rFonts w:hint="eastAsia" w:ascii="宋体" w:hAnsi="宋体" w:eastAsia="宋体"/>
          <w:sz w:val="21"/>
          <w:szCs w:val="21"/>
          <w:lang w:eastAsia="zh-CN"/>
        </w:rPr>
        <w:t>。</w:t>
      </w:r>
    </w:p>
    <w:p>
      <w:pPr>
        <w:adjustRightInd w:val="0"/>
        <w:snapToGrid w:val="0"/>
        <w:spacing w:line="360" w:lineRule="auto"/>
        <w:jc w:val="left"/>
        <w:rPr>
          <w:rFonts w:hint="eastAsia" w:ascii="宋体" w:hAnsi="宋体" w:eastAsia="宋体"/>
          <w:sz w:val="21"/>
          <w:szCs w:val="21"/>
          <w:lang w:eastAsia="zh-CN"/>
        </w:rPr>
      </w:pPr>
      <w:r>
        <w:rPr>
          <w:rFonts w:hint="eastAsia" w:ascii="宋体" w:hAnsi="宋体" w:eastAsia="宋体"/>
          <w:sz w:val="21"/>
          <w:szCs w:val="21"/>
        </w:rPr>
        <w:t>20. 2 本合同附件与合同具有同等效力。</w:t>
      </w:r>
    </w:p>
    <w:p>
      <w:pPr>
        <w:adjustRightInd w:val="0"/>
        <w:snapToGrid w:val="0"/>
        <w:spacing w:line="360" w:lineRule="auto"/>
        <w:jc w:val="left"/>
        <w:rPr>
          <w:rFonts w:ascii="宋体" w:hAnsi="宋体" w:eastAsia="宋体"/>
          <w:sz w:val="21"/>
          <w:szCs w:val="21"/>
        </w:rPr>
      </w:pPr>
      <w:r>
        <w:rPr>
          <w:rFonts w:hint="eastAsia" w:ascii="宋体" w:hAnsi="宋体" w:eastAsia="宋体"/>
          <w:sz w:val="21"/>
          <w:szCs w:val="21"/>
        </w:rPr>
        <w:t>20. 3合同文件应能相互解释，互为说明。若合同文件之间有矛盾，则以最新的文件为准。</w:t>
      </w:r>
    </w:p>
    <w:p>
      <w:pPr>
        <w:adjustRightInd w:val="0"/>
        <w:snapToGrid w:val="0"/>
        <w:spacing w:line="360" w:lineRule="auto"/>
        <w:jc w:val="left"/>
        <w:rPr>
          <w:rFonts w:hint="eastAsia" w:ascii="宋体" w:hAnsi="宋体" w:eastAsia="宋体"/>
          <w:b/>
          <w:bCs/>
          <w:sz w:val="21"/>
          <w:szCs w:val="21"/>
          <w:lang w:eastAsia="zh-CN"/>
        </w:rPr>
      </w:pPr>
      <w:r>
        <w:rPr>
          <w:rFonts w:hint="eastAsia" w:ascii="宋体" w:hAnsi="宋体" w:eastAsia="宋体"/>
          <w:b/>
          <w:bCs/>
          <w:sz w:val="21"/>
          <w:szCs w:val="21"/>
        </w:rPr>
        <w:t>21．合同修改</w:t>
      </w:r>
    </w:p>
    <w:p>
      <w:pPr>
        <w:adjustRightInd w:val="0"/>
        <w:snapToGrid w:val="0"/>
        <w:spacing w:line="360" w:lineRule="auto"/>
        <w:jc w:val="left"/>
        <w:rPr>
          <w:rFonts w:ascii="宋体" w:hAnsi="宋体" w:eastAsia="宋体"/>
          <w:sz w:val="21"/>
          <w:szCs w:val="21"/>
        </w:rPr>
      </w:pPr>
      <w:r>
        <w:rPr>
          <w:rFonts w:hint="eastAsia" w:ascii="宋体" w:hAnsi="宋体" w:eastAsia="宋体"/>
          <w:sz w:val="21"/>
          <w:szCs w:val="21"/>
        </w:rPr>
        <w:t>21．1 除了双方签署书面修改协议，并成为本合同不可分割的一部分之外，本合同条件不得有任何变化或修改。</w:t>
      </w:r>
    </w:p>
    <w:p>
      <w:pPr>
        <w:adjustRightInd w:val="0"/>
        <w:snapToGrid w:val="0"/>
        <w:spacing w:line="360" w:lineRule="auto"/>
        <w:jc w:val="left"/>
        <w:rPr>
          <w:rFonts w:ascii="宋体" w:hAnsi="宋体" w:eastAsia="宋体"/>
          <w:sz w:val="21"/>
          <w:szCs w:val="21"/>
        </w:rPr>
      </w:pPr>
      <w:r>
        <w:rPr>
          <w:rFonts w:hint="eastAsia" w:ascii="宋体" w:hAnsi="宋体" w:eastAsia="宋体"/>
          <w:sz w:val="21"/>
          <w:szCs w:val="21"/>
        </w:rPr>
        <w:t>注：合同中未尽事宜，经双方协商一致，依法签订补充协议。</w:t>
      </w:r>
    </w:p>
    <w:p>
      <w:pPr>
        <w:adjustRightInd w:val="0"/>
        <w:snapToGrid w:val="0"/>
        <w:spacing w:line="360" w:lineRule="auto"/>
        <w:jc w:val="left"/>
        <w:rPr>
          <w:rFonts w:ascii="宋体" w:hAnsi="宋体" w:eastAsia="宋体"/>
          <w:sz w:val="21"/>
          <w:szCs w:val="21"/>
        </w:rPr>
      </w:pPr>
      <w:r>
        <w:rPr>
          <w:rFonts w:hint="eastAsia" w:ascii="宋体" w:hAnsi="宋体" w:eastAsia="宋体"/>
          <w:sz w:val="21"/>
          <w:szCs w:val="21"/>
        </w:rPr>
        <w:t>签约各方：</w:t>
      </w:r>
    </w:p>
    <w:tbl>
      <w:tblPr>
        <w:tblStyle w:val="47"/>
        <w:tblW w:w="0" w:type="auto"/>
        <w:tblCellSpacing w:w="7" w:type="dxa"/>
        <w:tblInd w:w="-1" w:type="dxa"/>
        <w:tblLayout w:type="fixed"/>
        <w:tblCellMar>
          <w:top w:w="15" w:type="dxa"/>
          <w:left w:w="15" w:type="dxa"/>
          <w:bottom w:w="15" w:type="dxa"/>
          <w:right w:w="15" w:type="dxa"/>
        </w:tblCellMar>
      </w:tblPr>
      <w:tblGrid>
        <w:gridCol w:w="4139"/>
        <w:gridCol w:w="4139"/>
      </w:tblGrid>
      <w:tr>
        <w:tblPrEx>
          <w:tblCellMar>
            <w:top w:w="15" w:type="dxa"/>
            <w:left w:w="15" w:type="dxa"/>
            <w:bottom w:w="15" w:type="dxa"/>
            <w:right w:w="15" w:type="dxa"/>
          </w:tblCellMar>
        </w:tblPrEx>
        <w:trPr>
          <w:trHeight w:val="715" w:hRule="atLeast"/>
          <w:tblCellSpacing w:w="7" w:type="dxa"/>
        </w:trPr>
        <w:tc>
          <w:tcPr>
            <w:tcW w:w="4118" w:type="dxa"/>
            <w:noWrap w:val="0"/>
            <w:vAlign w:val="center"/>
          </w:tcPr>
          <w:p>
            <w:pPr>
              <w:widowControl/>
              <w:jc w:val="left"/>
              <w:rPr>
                <w:rFonts w:ascii="宋体" w:hAnsi="宋体" w:eastAsia="宋体" w:cs="宋体"/>
                <w:sz w:val="21"/>
                <w:szCs w:val="21"/>
              </w:rPr>
            </w:pPr>
            <w:r>
              <w:rPr>
                <w:rFonts w:hint="eastAsia" w:ascii="宋体" w:hAnsi="宋体" w:eastAsia="宋体" w:cs="宋体"/>
                <w:kern w:val="0"/>
                <w:sz w:val="21"/>
                <w:szCs w:val="21"/>
              </w:rPr>
              <w:t> 甲方（盖章）：</w:t>
            </w:r>
          </w:p>
        </w:tc>
        <w:tc>
          <w:tcPr>
            <w:tcW w:w="4118" w:type="dxa"/>
            <w:noWrap w:val="0"/>
            <w:vAlign w:val="center"/>
          </w:tcPr>
          <w:p>
            <w:pPr>
              <w:widowControl/>
              <w:jc w:val="left"/>
              <w:rPr>
                <w:rFonts w:ascii="宋体" w:hAnsi="宋体" w:eastAsia="宋体" w:cs="宋体"/>
                <w:sz w:val="21"/>
                <w:szCs w:val="21"/>
              </w:rPr>
            </w:pPr>
            <w:r>
              <w:rPr>
                <w:rFonts w:hint="eastAsia" w:ascii="宋体" w:hAnsi="宋体" w:eastAsia="宋体" w:cs="宋体"/>
                <w:kern w:val="0"/>
                <w:sz w:val="21"/>
                <w:szCs w:val="21"/>
              </w:rPr>
              <w:t xml:space="preserve">乙方（盖章）： </w:t>
            </w:r>
          </w:p>
        </w:tc>
      </w:tr>
      <w:tr>
        <w:tblPrEx>
          <w:tblCellMar>
            <w:top w:w="15" w:type="dxa"/>
            <w:left w:w="15" w:type="dxa"/>
            <w:bottom w:w="15" w:type="dxa"/>
            <w:right w:w="15" w:type="dxa"/>
          </w:tblCellMar>
        </w:tblPrEx>
        <w:trPr>
          <w:trHeight w:val="603" w:hRule="atLeast"/>
          <w:tblCellSpacing w:w="7" w:type="dxa"/>
        </w:trPr>
        <w:tc>
          <w:tcPr>
            <w:tcW w:w="4118" w:type="dxa"/>
            <w:noWrap w:val="0"/>
            <w:vAlign w:val="center"/>
          </w:tcPr>
          <w:p>
            <w:pPr>
              <w:widowControl/>
              <w:jc w:val="left"/>
              <w:rPr>
                <w:rFonts w:ascii="宋体" w:hAnsi="宋体" w:eastAsia="宋体" w:cs="宋体"/>
                <w:sz w:val="21"/>
                <w:szCs w:val="21"/>
              </w:rPr>
            </w:pPr>
            <w:r>
              <w:rPr>
                <w:rFonts w:hint="eastAsia" w:ascii="宋体" w:hAnsi="宋体" w:eastAsia="宋体" w:cs="宋体"/>
                <w:kern w:val="0"/>
                <w:sz w:val="21"/>
                <w:szCs w:val="21"/>
              </w:rPr>
              <w:t>法定代表人或授权委托人（签章）：</w:t>
            </w:r>
          </w:p>
        </w:tc>
        <w:tc>
          <w:tcPr>
            <w:tcW w:w="4118" w:type="dxa"/>
            <w:noWrap w:val="0"/>
            <w:vAlign w:val="center"/>
          </w:tcPr>
          <w:p>
            <w:pPr>
              <w:widowControl/>
              <w:jc w:val="left"/>
              <w:rPr>
                <w:rFonts w:ascii="宋体" w:hAnsi="宋体" w:eastAsia="宋体" w:cs="宋体"/>
                <w:sz w:val="21"/>
                <w:szCs w:val="21"/>
              </w:rPr>
            </w:pPr>
            <w:r>
              <w:rPr>
                <w:rFonts w:hint="eastAsia" w:ascii="宋体" w:hAnsi="宋体" w:eastAsia="宋体" w:cs="宋体"/>
                <w:kern w:val="0"/>
                <w:sz w:val="21"/>
                <w:szCs w:val="21"/>
              </w:rPr>
              <w:t>法定代表人或授权委托人（签章）：</w:t>
            </w:r>
          </w:p>
        </w:tc>
      </w:tr>
      <w:tr>
        <w:tblPrEx>
          <w:tblCellMar>
            <w:top w:w="15" w:type="dxa"/>
            <w:left w:w="15" w:type="dxa"/>
            <w:bottom w:w="15" w:type="dxa"/>
            <w:right w:w="15" w:type="dxa"/>
          </w:tblCellMar>
        </w:tblPrEx>
        <w:trPr>
          <w:trHeight w:val="678" w:hRule="atLeast"/>
          <w:tblCellSpacing w:w="7" w:type="dxa"/>
        </w:trPr>
        <w:tc>
          <w:tcPr>
            <w:tcW w:w="4118" w:type="dxa"/>
            <w:noWrap w:val="0"/>
            <w:vAlign w:val="center"/>
          </w:tcPr>
          <w:p>
            <w:pPr>
              <w:widowControl/>
              <w:jc w:val="left"/>
              <w:rPr>
                <w:rFonts w:ascii="宋体" w:hAnsi="宋体" w:eastAsia="宋体" w:cs="宋体"/>
                <w:sz w:val="21"/>
                <w:szCs w:val="21"/>
              </w:rPr>
            </w:pPr>
            <w:r>
              <w:rPr>
                <w:rFonts w:hint="eastAsia" w:ascii="宋体" w:hAnsi="宋体" w:eastAsia="宋体" w:cs="宋体"/>
                <w:kern w:val="0"/>
                <w:sz w:val="21"/>
                <w:szCs w:val="21"/>
              </w:rPr>
              <w:t>合同签订地点：</w:t>
            </w:r>
          </w:p>
        </w:tc>
        <w:tc>
          <w:tcPr>
            <w:tcW w:w="4118" w:type="dxa"/>
            <w:noWrap w:val="0"/>
            <w:vAlign w:val="center"/>
          </w:tcPr>
          <w:p>
            <w:pPr>
              <w:widowControl/>
              <w:jc w:val="left"/>
              <w:rPr>
                <w:rFonts w:ascii="宋体" w:hAnsi="宋体" w:eastAsia="宋体" w:cs="宋体"/>
                <w:sz w:val="21"/>
                <w:szCs w:val="21"/>
              </w:rPr>
            </w:pPr>
            <w:r>
              <w:rPr>
                <w:rFonts w:hint="eastAsia" w:ascii="宋体" w:hAnsi="宋体" w:eastAsia="宋体" w:cs="宋体"/>
                <w:kern w:val="0"/>
                <w:sz w:val="21"/>
                <w:szCs w:val="21"/>
              </w:rPr>
              <w:t>合同签订地点：</w:t>
            </w:r>
          </w:p>
        </w:tc>
      </w:tr>
      <w:tr>
        <w:tblPrEx>
          <w:tblCellMar>
            <w:top w:w="15" w:type="dxa"/>
            <w:left w:w="15" w:type="dxa"/>
            <w:bottom w:w="15" w:type="dxa"/>
            <w:right w:w="15" w:type="dxa"/>
          </w:tblCellMar>
        </w:tblPrEx>
        <w:trPr>
          <w:trHeight w:val="760" w:hRule="atLeast"/>
          <w:tblCellSpacing w:w="7" w:type="dxa"/>
        </w:trPr>
        <w:tc>
          <w:tcPr>
            <w:tcW w:w="4118" w:type="dxa"/>
            <w:noWrap w:val="0"/>
            <w:vAlign w:val="center"/>
          </w:tcPr>
          <w:p>
            <w:pPr>
              <w:widowControl/>
              <w:jc w:val="left"/>
              <w:rPr>
                <w:rFonts w:ascii="宋体" w:hAnsi="宋体" w:eastAsia="宋体" w:cs="宋体"/>
                <w:sz w:val="21"/>
                <w:szCs w:val="21"/>
              </w:rPr>
            </w:pPr>
            <w:r>
              <w:rPr>
                <w:rFonts w:hint="eastAsia" w:ascii="宋体" w:hAnsi="宋体" w:eastAsia="宋体" w:cs="宋体"/>
                <w:kern w:val="0"/>
                <w:sz w:val="21"/>
                <w:szCs w:val="21"/>
              </w:rPr>
              <w:t>日期：</w:t>
            </w:r>
          </w:p>
        </w:tc>
        <w:tc>
          <w:tcPr>
            <w:tcW w:w="4118" w:type="dxa"/>
            <w:noWrap w:val="0"/>
            <w:vAlign w:val="center"/>
          </w:tcPr>
          <w:p>
            <w:pPr>
              <w:widowControl/>
              <w:jc w:val="left"/>
              <w:rPr>
                <w:rFonts w:ascii="宋体" w:hAnsi="宋体" w:eastAsia="宋体" w:cs="宋体"/>
                <w:sz w:val="21"/>
                <w:szCs w:val="21"/>
              </w:rPr>
            </w:pPr>
            <w:r>
              <w:rPr>
                <w:rFonts w:hint="eastAsia" w:ascii="宋体" w:hAnsi="宋体" w:eastAsia="宋体" w:cs="宋体"/>
                <w:kern w:val="0"/>
                <w:sz w:val="21"/>
                <w:szCs w:val="21"/>
              </w:rPr>
              <w:t>日期：</w:t>
            </w:r>
          </w:p>
        </w:tc>
      </w:tr>
    </w:tbl>
    <w:p>
      <w:pPr>
        <w:pStyle w:val="3"/>
        <w:rPr>
          <w:rFonts w:hint="eastAsia"/>
        </w:rPr>
        <w:sectPr>
          <w:footerReference r:id="rId8" w:type="default"/>
          <w:pgSz w:w="11906" w:h="16838"/>
          <w:pgMar w:top="1440" w:right="1800" w:bottom="1440" w:left="1800" w:header="851" w:footer="992" w:gutter="0"/>
          <w:pgNumType w:fmt="decimal"/>
          <w:cols w:space="720" w:num="1"/>
          <w:docGrid w:type="lines" w:linePitch="312" w:charSpace="0"/>
        </w:sectPr>
      </w:pPr>
    </w:p>
    <w:p>
      <w:pPr>
        <w:numPr>
          <w:ilvl w:val="0"/>
          <w:numId w:val="5"/>
        </w:numPr>
        <w:adjustRightInd w:val="0"/>
        <w:snapToGrid w:val="0"/>
        <w:spacing w:line="360" w:lineRule="auto"/>
        <w:jc w:val="center"/>
        <w:outlineLvl w:val="0"/>
        <w:rPr>
          <w:rFonts w:ascii="宋体" w:hAnsi="宋体"/>
          <w:b/>
          <w:sz w:val="32"/>
          <w:highlight w:val="none"/>
        </w:rPr>
      </w:pPr>
      <w:bookmarkStart w:id="60" w:name="_Toc983"/>
      <w:r>
        <w:rPr>
          <w:rFonts w:hint="eastAsia" w:ascii="宋体" w:hAnsi="宋体"/>
          <w:b/>
          <w:sz w:val="32"/>
          <w:highlight w:val="none"/>
        </w:rPr>
        <w:t>响应文件格式</w:t>
      </w:r>
      <w:bookmarkEnd w:id="60"/>
    </w:p>
    <w:p>
      <w:pPr>
        <w:adjustRightInd w:val="0"/>
        <w:snapToGrid w:val="0"/>
        <w:spacing w:line="360" w:lineRule="auto"/>
        <w:jc w:val="left"/>
        <w:rPr>
          <w:rFonts w:ascii="宋体" w:hAnsi="宋体"/>
          <w:b/>
          <w:sz w:val="21"/>
          <w:highlight w:val="none"/>
        </w:rPr>
      </w:pPr>
    </w:p>
    <w:p>
      <w:pPr>
        <w:adjustRightInd w:val="0"/>
        <w:snapToGrid w:val="0"/>
        <w:spacing w:line="360" w:lineRule="auto"/>
        <w:jc w:val="left"/>
        <w:rPr>
          <w:rFonts w:ascii="宋体" w:hAnsi="宋体"/>
          <w:b/>
          <w:sz w:val="21"/>
          <w:highlight w:val="none"/>
        </w:rPr>
      </w:pPr>
      <w:r>
        <w:rPr>
          <w:rFonts w:hint="eastAsia" w:ascii="宋体" w:hAnsi="宋体"/>
          <w:b/>
          <w:sz w:val="21"/>
          <w:highlight w:val="none"/>
        </w:rPr>
        <w:t>附件1</w:t>
      </w:r>
    </w:p>
    <w:p>
      <w:pPr>
        <w:adjustRightInd w:val="0"/>
        <w:snapToGrid w:val="0"/>
        <w:spacing w:line="360" w:lineRule="auto"/>
        <w:jc w:val="center"/>
        <w:rPr>
          <w:rFonts w:hint="eastAsia" w:ascii="宋体" w:hAnsi="宋体" w:eastAsia="宋体"/>
          <w:b/>
          <w:sz w:val="28"/>
          <w:highlight w:val="none"/>
          <w:lang w:eastAsia="zh-CN"/>
        </w:rPr>
      </w:pPr>
      <w:r>
        <w:rPr>
          <w:rFonts w:hint="eastAsia" w:ascii="宋体" w:hAnsi="宋体"/>
          <w:b/>
          <w:sz w:val="28"/>
          <w:highlight w:val="none"/>
          <w:lang w:eastAsia="zh-CN"/>
        </w:rPr>
        <w:t>磋商函</w:t>
      </w:r>
    </w:p>
    <w:p>
      <w:pPr>
        <w:pStyle w:val="26"/>
        <w:adjustRightInd w:val="0"/>
        <w:snapToGrid w:val="0"/>
        <w:spacing w:line="360" w:lineRule="auto"/>
        <w:rPr>
          <w:rFonts w:hint="eastAsia" w:ascii="宋体" w:hAnsi="宋体" w:eastAsia="宋体"/>
          <w:b/>
          <w:color w:val="auto"/>
          <w:sz w:val="21"/>
          <w:szCs w:val="21"/>
          <w:highlight w:val="none"/>
          <w:lang w:eastAsia="zh-CN"/>
        </w:rPr>
      </w:pPr>
      <w:r>
        <w:rPr>
          <w:rFonts w:hint="eastAsia" w:ascii="宋体" w:hAnsi="宋体" w:eastAsia="宋体"/>
          <w:b/>
          <w:color w:val="auto"/>
          <w:sz w:val="21"/>
          <w:szCs w:val="21"/>
          <w:highlight w:val="none"/>
        </w:rPr>
        <w:t>致：</w:t>
      </w:r>
      <w:r>
        <w:rPr>
          <w:rFonts w:hint="eastAsia" w:ascii="宋体" w:hAnsi="宋体" w:eastAsia="宋体"/>
          <w:b/>
          <w:color w:val="auto"/>
          <w:sz w:val="21"/>
          <w:szCs w:val="21"/>
          <w:highlight w:val="none"/>
          <w:lang w:eastAsia="zh-CN"/>
        </w:rPr>
        <w:t>上海市宝山区城市运行管理中心</w:t>
      </w:r>
    </w:p>
    <w:p>
      <w:pPr>
        <w:adjustRightInd w:val="0"/>
        <w:snapToGrid w:val="0"/>
        <w:spacing w:line="360" w:lineRule="auto"/>
        <w:ind w:firstLine="525" w:firstLineChars="250"/>
        <w:rPr>
          <w:rFonts w:ascii="宋体" w:hAnsi="宋体"/>
          <w:sz w:val="21"/>
          <w:highlight w:val="none"/>
        </w:rPr>
      </w:pPr>
      <w:r>
        <w:rPr>
          <w:rFonts w:hint="eastAsia" w:ascii="宋体" w:hAnsi="宋体"/>
          <w:sz w:val="21"/>
          <w:highlight w:val="none"/>
        </w:rPr>
        <w:t>根据贵方项目编号为</w:t>
      </w:r>
      <w:r>
        <w:rPr>
          <w:rFonts w:hint="eastAsia" w:ascii="宋体" w:hAnsi="宋体"/>
          <w:sz w:val="21"/>
          <w:highlight w:val="none"/>
          <w:u w:val="single"/>
        </w:rPr>
        <w:t xml:space="preserve">             </w:t>
      </w:r>
      <w:r>
        <w:rPr>
          <w:rFonts w:hint="eastAsia" w:ascii="宋体" w:hAnsi="宋体"/>
          <w:sz w:val="21"/>
          <w:highlight w:val="none"/>
        </w:rPr>
        <w:t xml:space="preserve">的 </w:t>
      </w:r>
      <w:r>
        <w:rPr>
          <w:rFonts w:hint="eastAsia" w:ascii="宋体" w:hAnsi="宋体"/>
          <w:sz w:val="21"/>
          <w:highlight w:val="none"/>
          <w:u w:val="single"/>
        </w:rPr>
        <w:t xml:space="preserve">                         </w:t>
      </w:r>
      <w:r>
        <w:rPr>
          <w:rFonts w:hint="eastAsia" w:ascii="宋体" w:hAnsi="宋体"/>
          <w:sz w:val="21"/>
          <w:highlight w:val="none"/>
        </w:rPr>
        <w:t>（项目名称）的磋商文件，正式授权下述签字人</w:t>
      </w:r>
      <w:r>
        <w:rPr>
          <w:rFonts w:hint="eastAsia" w:ascii="宋体" w:hAnsi="宋体"/>
          <w:sz w:val="21"/>
          <w:highlight w:val="none"/>
          <w:u w:val="single"/>
        </w:rPr>
        <w:t xml:space="preserve">              </w:t>
      </w:r>
      <w:r>
        <w:rPr>
          <w:rFonts w:hint="eastAsia" w:ascii="宋体" w:hAnsi="宋体"/>
          <w:sz w:val="21"/>
          <w:highlight w:val="none"/>
        </w:rPr>
        <w:t>（姓名和职务）代表响应供应商</w:t>
      </w:r>
      <w:r>
        <w:rPr>
          <w:rFonts w:hint="eastAsia" w:ascii="宋体" w:hAnsi="宋体"/>
          <w:sz w:val="21"/>
          <w:highlight w:val="none"/>
          <w:u w:val="single"/>
        </w:rPr>
        <w:t xml:space="preserve">               </w:t>
      </w:r>
      <w:r>
        <w:rPr>
          <w:rFonts w:hint="eastAsia" w:ascii="宋体" w:hAnsi="宋体"/>
          <w:sz w:val="21"/>
          <w:highlight w:val="none"/>
        </w:rPr>
        <w:t>（响应供应商的名称），提交下述响应文件正本一份，副本三份。响应文件包括以下内容：</w:t>
      </w:r>
    </w:p>
    <w:p>
      <w:pPr>
        <w:adjustRightInd w:val="0"/>
        <w:snapToGrid w:val="0"/>
        <w:spacing w:line="360" w:lineRule="auto"/>
        <w:rPr>
          <w:rFonts w:ascii="宋体" w:hAnsi="宋体" w:cs="宋体"/>
          <w:kern w:val="0"/>
          <w:sz w:val="21"/>
          <w:szCs w:val="24"/>
          <w:highlight w:val="none"/>
        </w:rPr>
      </w:pPr>
    </w:p>
    <w:p>
      <w:pPr>
        <w:numPr>
          <w:ilvl w:val="0"/>
          <w:numId w:val="20"/>
        </w:numPr>
        <w:adjustRightInd w:val="0"/>
        <w:snapToGrid w:val="0"/>
        <w:spacing w:line="360" w:lineRule="auto"/>
        <w:rPr>
          <w:rFonts w:hint="eastAsia" w:ascii="宋体" w:hAnsi="宋体" w:cs="宋体"/>
          <w:kern w:val="0"/>
          <w:sz w:val="21"/>
          <w:szCs w:val="24"/>
          <w:highlight w:val="none"/>
        </w:rPr>
      </w:pPr>
      <w:r>
        <w:rPr>
          <w:rFonts w:hint="eastAsia" w:ascii="宋体" w:hAnsi="宋体" w:cs="宋体"/>
          <w:kern w:val="0"/>
          <w:sz w:val="21"/>
          <w:szCs w:val="24"/>
          <w:highlight w:val="none"/>
          <w:lang w:eastAsia="zh-CN"/>
        </w:rPr>
        <w:t>磋商函</w:t>
      </w:r>
    </w:p>
    <w:p>
      <w:pPr>
        <w:numPr>
          <w:ilvl w:val="0"/>
          <w:numId w:val="20"/>
        </w:numPr>
        <w:adjustRightInd w:val="0"/>
        <w:snapToGrid w:val="0"/>
        <w:spacing w:line="360" w:lineRule="auto"/>
        <w:rPr>
          <w:rFonts w:hint="eastAsia" w:ascii="宋体" w:hAnsi="宋体" w:cs="宋体"/>
          <w:kern w:val="0"/>
          <w:sz w:val="21"/>
          <w:szCs w:val="24"/>
          <w:highlight w:val="none"/>
        </w:rPr>
      </w:pPr>
      <w:r>
        <w:rPr>
          <w:rFonts w:hint="eastAsia" w:ascii="宋体" w:hAnsi="宋体" w:cs="宋体"/>
          <w:kern w:val="0"/>
          <w:sz w:val="21"/>
          <w:szCs w:val="24"/>
          <w:highlight w:val="none"/>
        </w:rPr>
        <w:t>磋商报价表</w:t>
      </w:r>
    </w:p>
    <w:p>
      <w:pPr>
        <w:numPr>
          <w:ilvl w:val="0"/>
          <w:numId w:val="20"/>
        </w:numPr>
        <w:adjustRightInd w:val="0"/>
        <w:snapToGrid w:val="0"/>
        <w:spacing w:line="360" w:lineRule="auto"/>
        <w:rPr>
          <w:rFonts w:hint="eastAsia" w:ascii="宋体" w:hAnsi="宋体" w:cs="宋体"/>
          <w:kern w:val="0"/>
          <w:sz w:val="21"/>
          <w:szCs w:val="24"/>
          <w:highlight w:val="none"/>
        </w:rPr>
      </w:pPr>
      <w:r>
        <w:rPr>
          <w:rFonts w:hint="eastAsia" w:ascii="宋体" w:hAnsi="宋体" w:cs="宋体"/>
          <w:kern w:val="0"/>
          <w:sz w:val="21"/>
          <w:szCs w:val="24"/>
          <w:highlight w:val="none"/>
        </w:rPr>
        <w:t>分项报价表</w:t>
      </w:r>
    </w:p>
    <w:p>
      <w:pPr>
        <w:numPr>
          <w:ilvl w:val="0"/>
          <w:numId w:val="20"/>
        </w:numPr>
        <w:adjustRightInd w:val="0"/>
        <w:snapToGrid w:val="0"/>
        <w:spacing w:line="360" w:lineRule="auto"/>
        <w:rPr>
          <w:rFonts w:hint="eastAsia" w:ascii="宋体" w:hAnsi="宋体" w:cs="宋体"/>
          <w:kern w:val="0"/>
          <w:sz w:val="21"/>
          <w:szCs w:val="24"/>
          <w:highlight w:val="none"/>
        </w:rPr>
      </w:pPr>
      <w:r>
        <w:rPr>
          <w:rFonts w:hint="eastAsia" w:ascii="宋体" w:hAnsi="宋体" w:cs="宋体"/>
          <w:kern w:val="0"/>
          <w:sz w:val="21"/>
          <w:szCs w:val="24"/>
          <w:highlight w:val="none"/>
        </w:rPr>
        <w:t>需求理解</w:t>
      </w:r>
    </w:p>
    <w:p>
      <w:pPr>
        <w:numPr>
          <w:ilvl w:val="0"/>
          <w:numId w:val="20"/>
        </w:numPr>
        <w:adjustRightInd w:val="0"/>
        <w:snapToGrid w:val="0"/>
        <w:spacing w:line="360" w:lineRule="auto"/>
        <w:rPr>
          <w:rFonts w:hint="eastAsia" w:ascii="宋体" w:hAnsi="宋体" w:cs="宋体"/>
          <w:kern w:val="0"/>
          <w:sz w:val="21"/>
          <w:szCs w:val="24"/>
          <w:highlight w:val="none"/>
        </w:rPr>
      </w:pPr>
      <w:r>
        <w:rPr>
          <w:rFonts w:hint="eastAsia" w:ascii="宋体" w:hAnsi="宋体" w:cs="宋体"/>
          <w:kern w:val="0"/>
          <w:sz w:val="21"/>
          <w:szCs w:val="24"/>
          <w:highlight w:val="none"/>
          <w:lang w:val="en-US" w:eastAsia="zh-CN"/>
        </w:rPr>
        <w:t>服务方案</w:t>
      </w:r>
    </w:p>
    <w:p>
      <w:pPr>
        <w:numPr>
          <w:ilvl w:val="0"/>
          <w:numId w:val="20"/>
        </w:numPr>
        <w:adjustRightInd w:val="0"/>
        <w:snapToGrid w:val="0"/>
        <w:spacing w:line="360" w:lineRule="auto"/>
        <w:rPr>
          <w:rFonts w:hint="eastAsia" w:ascii="宋体" w:hAnsi="宋体" w:cs="宋体"/>
          <w:kern w:val="0"/>
          <w:sz w:val="21"/>
          <w:szCs w:val="24"/>
          <w:highlight w:val="none"/>
          <w:lang w:val="en-US" w:eastAsia="zh-CN"/>
        </w:rPr>
      </w:pPr>
      <w:r>
        <w:rPr>
          <w:rFonts w:hint="eastAsia" w:ascii="宋体" w:hAnsi="宋体" w:cs="宋体"/>
          <w:kern w:val="0"/>
          <w:sz w:val="21"/>
          <w:szCs w:val="24"/>
          <w:highlight w:val="none"/>
          <w:lang w:val="en-US" w:eastAsia="zh-CN"/>
        </w:rPr>
        <w:t>服务团队情况</w:t>
      </w:r>
    </w:p>
    <w:p>
      <w:pPr>
        <w:numPr>
          <w:ilvl w:val="0"/>
          <w:numId w:val="20"/>
        </w:numPr>
        <w:adjustRightInd w:val="0"/>
        <w:snapToGrid w:val="0"/>
        <w:spacing w:line="360" w:lineRule="auto"/>
        <w:rPr>
          <w:rFonts w:hint="eastAsia" w:ascii="宋体" w:hAnsi="宋体" w:cs="宋体"/>
          <w:kern w:val="0"/>
          <w:sz w:val="21"/>
          <w:szCs w:val="24"/>
          <w:highlight w:val="none"/>
        </w:rPr>
      </w:pPr>
      <w:r>
        <w:rPr>
          <w:rFonts w:hint="eastAsia" w:ascii="宋体" w:hAnsi="宋体" w:cs="宋体"/>
          <w:kern w:val="0"/>
          <w:sz w:val="21"/>
          <w:szCs w:val="24"/>
          <w:highlight w:val="none"/>
          <w:lang w:eastAsia="zh-CN"/>
        </w:rPr>
        <w:t>类似项目业绩情况表</w:t>
      </w:r>
      <w:r>
        <w:rPr>
          <w:rFonts w:hint="eastAsia" w:ascii="宋体" w:hAnsi="宋体" w:cs="宋体"/>
          <w:kern w:val="0"/>
          <w:sz w:val="21"/>
          <w:szCs w:val="24"/>
          <w:highlight w:val="none"/>
        </w:rPr>
        <w:t>（附合同复印件）</w:t>
      </w:r>
    </w:p>
    <w:p>
      <w:pPr>
        <w:numPr>
          <w:ilvl w:val="0"/>
          <w:numId w:val="20"/>
        </w:numPr>
        <w:adjustRightInd w:val="0"/>
        <w:snapToGrid w:val="0"/>
        <w:spacing w:line="360" w:lineRule="auto"/>
        <w:rPr>
          <w:rFonts w:hint="eastAsia" w:ascii="宋体" w:hAnsi="宋体" w:cs="宋体"/>
          <w:kern w:val="0"/>
          <w:sz w:val="21"/>
          <w:szCs w:val="24"/>
          <w:highlight w:val="none"/>
        </w:rPr>
      </w:pPr>
      <w:r>
        <w:rPr>
          <w:rFonts w:hint="eastAsia" w:ascii="宋体" w:hAnsi="宋体" w:cs="宋体"/>
          <w:kern w:val="0"/>
          <w:sz w:val="21"/>
          <w:szCs w:val="24"/>
          <w:highlight w:val="none"/>
        </w:rPr>
        <w:t>响应供应商基本情况表</w:t>
      </w:r>
    </w:p>
    <w:p>
      <w:pPr>
        <w:numPr>
          <w:ilvl w:val="0"/>
          <w:numId w:val="20"/>
        </w:numPr>
        <w:adjustRightInd w:val="0"/>
        <w:snapToGrid w:val="0"/>
        <w:spacing w:line="360" w:lineRule="auto"/>
        <w:rPr>
          <w:rFonts w:hint="eastAsia" w:ascii="宋体" w:hAnsi="宋体" w:cs="宋体"/>
          <w:kern w:val="0"/>
          <w:sz w:val="21"/>
          <w:szCs w:val="24"/>
          <w:highlight w:val="none"/>
        </w:rPr>
      </w:pPr>
      <w:r>
        <w:rPr>
          <w:rFonts w:hint="eastAsia" w:ascii="宋体" w:hAnsi="宋体" w:cs="宋体"/>
          <w:kern w:val="0"/>
          <w:sz w:val="21"/>
          <w:szCs w:val="24"/>
          <w:highlight w:val="none"/>
        </w:rPr>
        <w:t>法定代表人授权书</w:t>
      </w:r>
    </w:p>
    <w:p>
      <w:pPr>
        <w:numPr>
          <w:ilvl w:val="0"/>
          <w:numId w:val="20"/>
        </w:numPr>
        <w:adjustRightInd w:val="0"/>
        <w:snapToGrid w:val="0"/>
        <w:spacing w:line="360" w:lineRule="auto"/>
        <w:rPr>
          <w:rFonts w:hint="eastAsia" w:ascii="宋体" w:hAnsi="宋体" w:cs="宋体"/>
          <w:kern w:val="0"/>
          <w:sz w:val="21"/>
          <w:szCs w:val="24"/>
          <w:highlight w:val="none"/>
        </w:rPr>
      </w:pPr>
      <w:r>
        <w:rPr>
          <w:rFonts w:hint="eastAsia" w:ascii="宋体" w:hAnsi="宋体" w:cs="宋体"/>
          <w:kern w:val="0"/>
          <w:sz w:val="21"/>
          <w:szCs w:val="24"/>
          <w:highlight w:val="none"/>
        </w:rPr>
        <w:t>声明函</w:t>
      </w:r>
    </w:p>
    <w:p>
      <w:pPr>
        <w:numPr>
          <w:ilvl w:val="0"/>
          <w:numId w:val="20"/>
        </w:numPr>
        <w:adjustRightInd w:val="0"/>
        <w:snapToGrid w:val="0"/>
        <w:spacing w:line="360" w:lineRule="auto"/>
        <w:rPr>
          <w:rFonts w:hint="eastAsia" w:ascii="宋体" w:hAnsi="宋体" w:cs="宋体"/>
          <w:kern w:val="0"/>
          <w:sz w:val="21"/>
          <w:szCs w:val="24"/>
          <w:highlight w:val="none"/>
        </w:rPr>
      </w:pPr>
      <w:r>
        <w:rPr>
          <w:rFonts w:hint="eastAsia" w:ascii="宋体" w:hAnsi="宋体" w:cs="宋体"/>
          <w:kern w:val="0"/>
          <w:sz w:val="21"/>
          <w:szCs w:val="24"/>
          <w:highlight w:val="none"/>
        </w:rPr>
        <w:t>财务状况及税收、社会保障资金缴纳情况声明函</w:t>
      </w:r>
    </w:p>
    <w:p>
      <w:pPr>
        <w:numPr>
          <w:ilvl w:val="0"/>
          <w:numId w:val="20"/>
        </w:numPr>
        <w:adjustRightInd w:val="0"/>
        <w:snapToGrid w:val="0"/>
        <w:spacing w:line="360" w:lineRule="auto"/>
        <w:rPr>
          <w:rFonts w:hint="eastAsia" w:ascii="宋体" w:hAnsi="宋体" w:cs="宋体"/>
          <w:kern w:val="0"/>
          <w:sz w:val="21"/>
          <w:szCs w:val="24"/>
          <w:highlight w:val="none"/>
        </w:rPr>
      </w:pPr>
      <w:r>
        <w:rPr>
          <w:rFonts w:hint="eastAsia" w:ascii="宋体" w:hAnsi="宋体" w:cs="宋体"/>
          <w:kern w:val="0"/>
          <w:sz w:val="21"/>
          <w:szCs w:val="24"/>
          <w:highlight w:val="none"/>
          <w:lang w:val="en-US" w:eastAsia="zh-CN"/>
        </w:rPr>
        <w:t>中小企业声明函</w:t>
      </w:r>
    </w:p>
    <w:p>
      <w:pPr>
        <w:numPr>
          <w:ilvl w:val="0"/>
          <w:numId w:val="20"/>
        </w:numPr>
        <w:adjustRightInd w:val="0"/>
        <w:snapToGrid w:val="0"/>
        <w:spacing w:line="360" w:lineRule="auto"/>
        <w:rPr>
          <w:rFonts w:hint="eastAsia" w:ascii="宋体" w:hAnsi="宋体" w:cs="宋体"/>
          <w:kern w:val="0"/>
          <w:sz w:val="21"/>
          <w:szCs w:val="24"/>
          <w:highlight w:val="none"/>
        </w:rPr>
      </w:pPr>
      <w:r>
        <w:rPr>
          <w:rFonts w:hint="eastAsia" w:ascii="宋体" w:hAnsi="宋体" w:cs="宋体"/>
          <w:kern w:val="0"/>
          <w:sz w:val="21"/>
          <w:szCs w:val="24"/>
          <w:highlight w:val="none"/>
        </w:rPr>
        <w:t>法人或者其他组织的营业执照等证明文件，自然人的身份证明文件及相关资质证书等与本次采购内容相关的资质/资格证明文件情况等</w:t>
      </w:r>
    </w:p>
    <w:p>
      <w:pPr>
        <w:numPr>
          <w:ilvl w:val="0"/>
          <w:numId w:val="20"/>
        </w:numPr>
        <w:adjustRightInd w:val="0"/>
        <w:snapToGrid w:val="0"/>
        <w:spacing w:line="360" w:lineRule="auto"/>
        <w:rPr>
          <w:rFonts w:hint="eastAsia" w:ascii="宋体" w:hAnsi="宋体" w:cs="宋体"/>
          <w:kern w:val="0"/>
          <w:sz w:val="21"/>
          <w:szCs w:val="24"/>
          <w:highlight w:val="none"/>
        </w:rPr>
      </w:pPr>
      <w:r>
        <w:rPr>
          <w:rFonts w:hint="eastAsia" w:ascii="宋体" w:hAnsi="宋体" w:cs="宋体"/>
          <w:kern w:val="0"/>
          <w:sz w:val="21"/>
          <w:szCs w:val="24"/>
          <w:highlight w:val="none"/>
        </w:rPr>
        <w:t>其他相关资料（磋商文件未要求，响应供应商认为应提供的相关资料）</w:t>
      </w:r>
    </w:p>
    <w:p>
      <w:pPr>
        <w:numPr>
          <w:ilvl w:val="0"/>
          <w:numId w:val="20"/>
        </w:numPr>
        <w:adjustRightInd w:val="0"/>
        <w:snapToGrid w:val="0"/>
        <w:spacing w:line="360" w:lineRule="auto"/>
        <w:rPr>
          <w:rFonts w:hint="eastAsia" w:ascii="宋体" w:hAnsi="宋体" w:cs="宋体"/>
          <w:kern w:val="0"/>
          <w:sz w:val="21"/>
          <w:szCs w:val="24"/>
          <w:highlight w:val="none"/>
        </w:rPr>
      </w:pPr>
      <w:r>
        <w:rPr>
          <w:rFonts w:hint="eastAsia" w:ascii="宋体" w:hAnsi="宋体" w:cs="宋体"/>
          <w:kern w:val="0"/>
          <w:sz w:val="21"/>
          <w:szCs w:val="24"/>
          <w:highlight w:val="none"/>
        </w:rPr>
        <w:t>“信用中国”网站（www.creditchina.gov.cn）“失信被执行人”查询结果及“重大税收违法案件”查询结果、中国政府采购网（www.ccgp.gov.cn）政府采购严重违法失信名单查询结果页面截图（页面须附系统时间，日期为采购公告发布之日后）</w:t>
      </w:r>
    </w:p>
    <w:p>
      <w:pPr>
        <w:pStyle w:val="18"/>
        <w:rPr>
          <w:rFonts w:ascii="宋体" w:hAnsi="宋体" w:cs="宋体"/>
          <w:sz w:val="21"/>
          <w:szCs w:val="24"/>
          <w:highlight w:val="none"/>
        </w:rPr>
      </w:pPr>
    </w:p>
    <w:p>
      <w:pPr>
        <w:rPr>
          <w:highlight w:val="none"/>
        </w:rPr>
      </w:pPr>
    </w:p>
    <w:p>
      <w:pPr>
        <w:tabs>
          <w:tab w:val="left" w:pos="270"/>
        </w:tabs>
        <w:adjustRightInd w:val="0"/>
        <w:snapToGrid w:val="0"/>
        <w:spacing w:line="360" w:lineRule="auto"/>
        <w:ind w:left="271"/>
        <w:rPr>
          <w:rFonts w:ascii="宋体" w:hAnsi="宋体"/>
          <w:sz w:val="21"/>
          <w:highlight w:val="none"/>
        </w:rPr>
      </w:pPr>
      <w:r>
        <w:rPr>
          <w:rFonts w:hint="eastAsia" w:ascii="宋体" w:hAnsi="宋体"/>
          <w:sz w:val="21"/>
          <w:highlight w:val="none"/>
        </w:rPr>
        <w:t>由</w:t>
      </w:r>
      <w:r>
        <w:rPr>
          <w:rFonts w:hint="eastAsia" w:ascii="宋体" w:hAnsi="宋体"/>
          <w:sz w:val="21"/>
          <w:highlight w:val="none"/>
          <w:u w:val="single"/>
        </w:rPr>
        <w:t xml:space="preserve">                    </w:t>
      </w:r>
      <w:r>
        <w:rPr>
          <w:rFonts w:hint="eastAsia" w:ascii="宋体" w:hAnsi="宋体"/>
          <w:sz w:val="21"/>
          <w:highlight w:val="none"/>
        </w:rPr>
        <w:t>（银行名称）出具的磋商保证金，金额为</w:t>
      </w:r>
      <w:r>
        <w:rPr>
          <w:rFonts w:hint="eastAsia" w:ascii="宋体" w:hAnsi="宋体"/>
          <w:sz w:val="21"/>
          <w:highlight w:val="none"/>
          <w:u w:val="single"/>
        </w:rPr>
        <w:t xml:space="preserve">                  </w:t>
      </w:r>
      <w:r>
        <w:rPr>
          <w:rFonts w:hint="eastAsia" w:ascii="宋体" w:hAnsi="宋体"/>
          <w:sz w:val="21"/>
          <w:highlight w:val="none"/>
        </w:rPr>
        <w:t>。</w:t>
      </w:r>
    </w:p>
    <w:p>
      <w:pPr>
        <w:adjustRightInd w:val="0"/>
        <w:snapToGrid w:val="0"/>
        <w:spacing w:line="360" w:lineRule="auto"/>
        <w:rPr>
          <w:rFonts w:ascii="宋体" w:hAnsi="宋体"/>
          <w:sz w:val="21"/>
          <w:highlight w:val="none"/>
        </w:rPr>
      </w:pPr>
      <w:r>
        <w:rPr>
          <w:rFonts w:hint="eastAsia" w:ascii="宋体" w:hAnsi="宋体"/>
          <w:sz w:val="21"/>
          <w:highlight w:val="none"/>
        </w:rPr>
        <w:t>(1)</w:t>
      </w:r>
      <w:r>
        <w:rPr>
          <w:rFonts w:hint="eastAsia" w:ascii="宋体" w:hAnsi="宋体"/>
          <w:sz w:val="21"/>
          <w:highlight w:val="none"/>
        </w:rPr>
        <w:tab/>
      </w:r>
      <w:r>
        <w:rPr>
          <w:rFonts w:hint="eastAsia" w:ascii="宋体" w:hAnsi="宋体"/>
          <w:sz w:val="21"/>
          <w:highlight w:val="none"/>
        </w:rPr>
        <w:t>据此函，签字代表宣布同意如下：</w:t>
      </w:r>
    </w:p>
    <w:p>
      <w:pPr>
        <w:adjustRightInd w:val="0"/>
        <w:snapToGrid w:val="0"/>
        <w:spacing w:line="360" w:lineRule="auto"/>
        <w:rPr>
          <w:rFonts w:ascii="宋体" w:hAnsi="宋体"/>
          <w:sz w:val="21"/>
          <w:highlight w:val="none"/>
        </w:rPr>
      </w:pPr>
      <w:r>
        <w:rPr>
          <w:rFonts w:hint="eastAsia" w:ascii="宋体" w:hAnsi="宋体"/>
          <w:sz w:val="21"/>
          <w:highlight w:val="none"/>
        </w:rPr>
        <w:t>(2)</w:t>
      </w:r>
      <w:r>
        <w:rPr>
          <w:rFonts w:hint="eastAsia" w:ascii="宋体" w:hAnsi="宋体"/>
          <w:sz w:val="21"/>
          <w:highlight w:val="none"/>
        </w:rPr>
        <w:tab/>
      </w:r>
      <w:r>
        <w:rPr>
          <w:rFonts w:hint="eastAsia" w:ascii="宋体" w:hAnsi="宋体"/>
          <w:sz w:val="21"/>
          <w:highlight w:val="none"/>
        </w:rPr>
        <w:t>所附报价分类明细表中规定的应提供和交付的标的物总价为</w:t>
      </w:r>
      <w:r>
        <w:rPr>
          <w:rFonts w:hint="eastAsia" w:ascii="宋体" w:hAnsi="宋体"/>
          <w:sz w:val="21"/>
          <w:highlight w:val="none"/>
          <w:u w:val="single"/>
        </w:rPr>
        <w:t xml:space="preserve">       </w:t>
      </w:r>
      <w:r>
        <w:rPr>
          <w:rFonts w:hint="eastAsia" w:ascii="宋体" w:hAnsi="宋体"/>
          <w:sz w:val="21"/>
          <w:highlight w:val="none"/>
        </w:rPr>
        <w:t>即</w:t>
      </w:r>
      <w:r>
        <w:rPr>
          <w:rFonts w:hint="eastAsia" w:ascii="宋体" w:hAnsi="宋体"/>
          <w:sz w:val="21"/>
          <w:highlight w:val="none"/>
          <w:u w:val="single"/>
        </w:rPr>
        <w:t xml:space="preserve">         </w:t>
      </w:r>
      <w:r>
        <w:rPr>
          <w:rFonts w:hint="eastAsia" w:ascii="宋体" w:hAnsi="宋体"/>
          <w:sz w:val="21"/>
          <w:highlight w:val="none"/>
        </w:rPr>
        <w:t>（文字表述）。</w:t>
      </w:r>
    </w:p>
    <w:p>
      <w:pPr>
        <w:adjustRightInd w:val="0"/>
        <w:snapToGrid w:val="0"/>
        <w:spacing w:line="360" w:lineRule="auto"/>
        <w:rPr>
          <w:rFonts w:ascii="宋体" w:hAnsi="宋体"/>
          <w:sz w:val="21"/>
          <w:highlight w:val="none"/>
        </w:rPr>
      </w:pPr>
      <w:r>
        <w:rPr>
          <w:rFonts w:hint="eastAsia" w:ascii="宋体" w:hAnsi="宋体"/>
          <w:sz w:val="21"/>
          <w:highlight w:val="none"/>
        </w:rPr>
        <w:t>(3)</w:t>
      </w:r>
      <w:r>
        <w:rPr>
          <w:rFonts w:hint="eastAsia" w:ascii="宋体" w:hAnsi="宋体"/>
          <w:sz w:val="21"/>
          <w:highlight w:val="none"/>
        </w:rPr>
        <w:tab/>
      </w:r>
      <w:r>
        <w:rPr>
          <w:rFonts w:hint="eastAsia" w:ascii="宋体" w:hAnsi="宋体"/>
          <w:sz w:val="21"/>
          <w:highlight w:val="none"/>
        </w:rPr>
        <w:t>响应供应商将按磋商文件的规定履行合同责任和义务。</w:t>
      </w:r>
    </w:p>
    <w:p>
      <w:pPr>
        <w:adjustRightInd w:val="0"/>
        <w:snapToGrid w:val="0"/>
        <w:spacing w:line="360" w:lineRule="auto"/>
        <w:rPr>
          <w:rFonts w:ascii="宋体" w:hAnsi="宋体"/>
          <w:sz w:val="21"/>
          <w:highlight w:val="none"/>
        </w:rPr>
      </w:pPr>
      <w:r>
        <w:rPr>
          <w:rFonts w:hint="eastAsia" w:ascii="宋体" w:hAnsi="宋体"/>
          <w:sz w:val="21"/>
          <w:highlight w:val="none"/>
        </w:rPr>
        <w:t>(4)</w:t>
      </w:r>
      <w:r>
        <w:rPr>
          <w:rFonts w:hint="eastAsia" w:ascii="宋体" w:hAnsi="宋体"/>
          <w:sz w:val="21"/>
          <w:highlight w:val="none"/>
        </w:rPr>
        <w:tab/>
      </w:r>
      <w:r>
        <w:rPr>
          <w:rFonts w:hint="eastAsia" w:ascii="宋体" w:hAnsi="宋体"/>
          <w:sz w:val="21"/>
          <w:highlight w:val="none"/>
        </w:rPr>
        <w:t>响应供应商已详细审查全部磋商文件，包括修改文件（如有的话）以及全部参考资料和有关附件。</w:t>
      </w:r>
    </w:p>
    <w:p>
      <w:pPr>
        <w:adjustRightInd w:val="0"/>
        <w:snapToGrid w:val="0"/>
        <w:spacing w:line="360" w:lineRule="auto"/>
        <w:rPr>
          <w:rFonts w:ascii="宋体" w:hAnsi="宋体"/>
          <w:sz w:val="21"/>
          <w:highlight w:val="none"/>
        </w:rPr>
      </w:pPr>
      <w:r>
        <w:rPr>
          <w:rFonts w:hint="eastAsia" w:ascii="宋体" w:hAnsi="宋体"/>
          <w:sz w:val="21"/>
          <w:highlight w:val="none"/>
        </w:rPr>
        <w:t>(5)</w:t>
      </w:r>
      <w:r>
        <w:rPr>
          <w:rFonts w:hint="eastAsia" w:ascii="宋体" w:hAnsi="宋体"/>
          <w:sz w:val="21"/>
          <w:highlight w:val="none"/>
        </w:rPr>
        <w:tab/>
      </w:r>
      <w:r>
        <w:rPr>
          <w:rFonts w:hint="eastAsia" w:ascii="宋体" w:hAnsi="宋体"/>
          <w:sz w:val="21"/>
          <w:highlight w:val="none"/>
        </w:rPr>
        <w:t>我们完全理解并同意放弃对这方面有不明及误解的权利。</w:t>
      </w:r>
    </w:p>
    <w:p>
      <w:pPr>
        <w:adjustRightInd w:val="0"/>
        <w:snapToGrid w:val="0"/>
        <w:spacing w:line="360" w:lineRule="auto"/>
        <w:rPr>
          <w:rFonts w:ascii="宋体" w:hAnsi="宋体"/>
          <w:sz w:val="21"/>
          <w:highlight w:val="none"/>
        </w:rPr>
      </w:pPr>
      <w:r>
        <w:rPr>
          <w:rFonts w:hint="eastAsia" w:ascii="宋体" w:hAnsi="宋体"/>
          <w:sz w:val="21"/>
          <w:highlight w:val="none"/>
        </w:rPr>
        <w:t>(6)</w:t>
      </w:r>
      <w:r>
        <w:rPr>
          <w:rFonts w:hint="eastAsia" w:ascii="宋体" w:hAnsi="宋体"/>
          <w:sz w:val="21"/>
          <w:highlight w:val="none"/>
        </w:rPr>
        <w:tab/>
      </w:r>
      <w:r>
        <w:rPr>
          <w:rFonts w:hint="eastAsia" w:ascii="宋体" w:hAnsi="宋体"/>
          <w:sz w:val="21"/>
          <w:highlight w:val="none"/>
        </w:rPr>
        <w:t>其响应自开标日起有效期为</w:t>
      </w:r>
      <w:r>
        <w:rPr>
          <w:rFonts w:hint="eastAsia" w:ascii="宋体" w:hAnsi="宋体"/>
          <w:sz w:val="21"/>
          <w:highlight w:val="none"/>
          <w:u w:val="single"/>
        </w:rPr>
        <w:t xml:space="preserve"> 90  </w:t>
      </w:r>
      <w:r>
        <w:rPr>
          <w:rFonts w:hint="eastAsia" w:ascii="宋体" w:hAnsi="宋体"/>
          <w:sz w:val="21"/>
          <w:highlight w:val="none"/>
        </w:rPr>
        <w:t>个日历日。</w:t>
      </w:r>
    </w:p>
    <w:p>
      <w:pPr>
        <w:adjustRightInd w:val="0"/>
        <w:snapToGrid w:val="0"/>
        <w:spacing w:line="360" w:lineRule="auto"/>
        <w:rPr>
          <w:rFonts w:ascii="宋体" w:hAnsi="宋体"/>
          <w:sz w:val="21"/>
          <w:highlight w:val="none"/>
        </w:rPr>
      </w:pPr>
      <w:r>
        <w:rPr>
          <w:rFonts w:hint="eastAsia" w:ascii="宋体" w:hAnsi="宋体"/>
          <w:sz w:val="21"/>
          <w:highlight w:val="none"/>
        </w:rPr>
        <w:t>(7)</w:t>
      </w:r>
      <w:r>
        <w:rPr>
          <w:rFonts w:hint="eastAsia" w:ascii="宋体" w:hAnsi="宋体"/>
          <w:sz w:val="21"/>
          <w:highlight w:val="none"/>
        </w:rPr>
        <w:tab/>
      </w:r>
      <w:r>
        <w:rPr>
          <w:rFonts w:hint="eastAsia" w:ascii="宋体" w:hAnsi="宋体"/>
          <w:sz w:val="21"/>
          <w:highlight w:val="none"/>
        </w:rPr>
        <w:t>响应供应商同意提供按照贵方可能要求的与其响应有关的一切数据或资料，完全理解贵方不一定要接受最低价的响应或收到任何响应文件。</w:t>
      </w:r>
    </w:p>
    <w:p>
      <w:pPr>
        <w:adjustRightInd w:val="0"/>
        <w:snapToGrid w:val="0"/>
        <w:spacing w:line="360" w:lineRule="auto"/>
        <w:rPr>
          <w:rFonts w:ascii="宋体" w:hAnsi="宋体"/>
          <w:sz w:val="21"/>
          <w:highlight w:val="none"/>
        </w:rPr>
      </w:pPr>
      <w:r>
        <w:rPr>
          <w:rFonts w:hint="eastAsia" w:ascii="宋体" w:hAnsi="宋体"/>
          <w:sz w:val="21"/>
          <w:highlight w:val="none"/>
        </w:rPr>
        <w:t>(8)</w:t>
      </w:r>
      <w:r>
        <w:rPr>
          <w:rFonts w:hint="eastAsia" w:ascii="宋体" w:hAnsi="宋体"/>
          <w:sz w:val="21"/>
          <w:highlight w:val="none"/>
        </w:rPr>
        <w:tab/>
      </w:r>
      <w:r>
        <w:rPr>
          <w:rFonts w:hint="eastAsia" w:ascii="宋体" w:hAnsi="宋体"/>
          <w:sz w:val="21"/>
          <w:highlight w:val="none"/>
        </w:rPr>
        <w:t>与本响应有关的一切正式往来通讯请寄：</w:t>
      </w:r>
    </w:p>
    <w:p>
      <w:pPr>
        <w:adjustRightInd w:val="0"/>
        <w:snapToGrid w:val="0"/>
        <w:spacing w:line="360" w:lineRule="auto"/>
        <w:rPr>
          <w:rFonts w:ascii="宋体" w:hAnsi="宋体"/>
          <w:sz w:val="21"/>
          <w:highlight w:val="none"/>
        </w:rPr>
      </w:pPr>
    </w:p>
    <w:p>
      <w:pPr>
        <w:adjustRightInd w:val="0"/>
        <w:snapToGrid w:val="0"/>
        <w:spacing w:line="360" w:lineRule="auto"/>
        <w:rPr>
          <w:rFonts w:ascii="宋体" w:hAnsi="宋体"/>
          <w:sz w:val="21"/>
          <w:highlight w:val="none"/>
        </w:rPr>
      </w:pPr>
      <w:r>
        <w:rPr>
          <w:rFonts w:hint="eastAsia" w:ascii="宋体" w:hAnsi="宋体"/>
          <w:sz w:val="21"/>
          <w:highlight w:val="none"/>
        </w:rPr>
        <w:t>单位地址：</w:t>
      </w:r>
      <w:r>
        <w:rPr>
          <w:rFonts w:hint="eastAsia" w:ascii="宋体" w:hAnsi="宋体"/>
          <w:sz w:val="21"/>
          <w:highlight w:val="none"/>
          <w:u w:val="single"/>
        </w:rPr>
        <w:t xml:space="preserve">                                                               </w:t>
      </w:r>
    </w:p>
    <w:p>
      <w:pPr>
        <w:adjustRightInd w:val="0"/>
        <w:snapToGrid w:val="0"/>
        <w:spacing w:line="360" w:lineRule="auto"/>
        <w:rPr>
          <w:rFonts w:ascii="宋体" w:hAnsi="宋体"/>
          <w:sz w:val="21"/>
          <w:highlight w:val="none"/>
          <w:u w:val="single"/>
        </w:rPr>
      </w:pPr>
      <w:r>
        <w:rPr>
          <w:rFonts w:hint="eastAsia" w:ascii="宋体" w:hAnsi="宋体"/>
          <w:sz w:val="21"/>
          <w:highlight w:val="none"/>
        </w:rPr>
        <w:t>单位电话：</w:t>
      </w:r>
      <w:r>
        <w:rPr>
          <w:rFonts w:hint="eastAsia" w:ascii="宋体" w:hAnsi="宋体"/>
          <w:sz w:val="21"/>
          <w:highlight w:val="none"/>
          <w:u w:val="single"/>
        </w:rPr>
        <w:t xml:space="preserve">                    </w:t>
      </w:r>
      <w:r>
        <w:rPr>
          <w:rFonts w:hint="eastAsia" w:ascii="宋体" w:hAnsi="宋体"/>
          <w:sz w:val="21"/>
          <w:highlight w:val="none"/>
        </w:rPr>
        <w:t>传真：</w:t>
      </w:r>
      <w:r>
        <w:rPr>
          <w:rFonts w:hint="eastAsia" w:ascii="宋体" w:hAnsi="宋体"/>
          <w:sz w:val="21"/>
          <w:highlight w:val="none"/>
          <w:u w:val="single"/>
        </w:rPr>
        <w:t xml:space="preserve">                  </w:t>
      </w:r>
      <w:r>
        <w:rPr>
          <w:rFonts w:hint="eastAsia" w:ascii="宋体" w:hAnsi="宋体"/>
          <w:sz w:val="21"/>
          <w:highlight w:val="none"/>
        </w:rPr>
        <w:t xml:space="preserve"> 邮编：</w:t>
      </w:r>
      <w:r>
        <w:rPr>
          <w:rFonts w:hint="eastAsia" w:ascii="宋体" w:hAnsi="宋体"/>
          <w:sz w:val="21"/>
          <w:highlight w:val="none"/>
          <w:u w:val="single"/>
        </w:rPr>
        <w:t xml:space="preserve">              </w:t>
      </w:r>
    </w:p>
    <w:p>
      <w:pPr>
        <w:adjustRightInd w:val="0"/>
        <w:snapToGrid w:val="0"/>
        <w:spacing w:line="360" w:lineRule="auto"/>
        <w:rPr>
          <w:rFonts w:ascii="宋体" w:hAnsi="宋体"/>
          <w:sz w:val="21"/>
          <w:highlight w:val="none"/>
        </w:rPr>
      </w:pPr>
      <w:r>
        <w:rPr>
          <w:rFonts w:hint="eastAsia" w:ascii="宋体" w:hAnsi="宋体"/>
          <w:sz w:val="21"/>
          <w:highlight w:val="none"/>
        </w:rPr>
        <w:t>纳税识别号：</w:t>
      </w:r>
      <w:r>
        <w:rPr>
          <w:rFonts w:hint="eastAsia" w:ascii="宋体" w:hAnsi="宋体"/>
          <w:sz w:val="21"/>
          <w:highlight w:val="none"/>
          <w:u w:val="single"/>
        </w:rPr>
        <w:t xml:space="preserve">                                                             </w:t>
      </w:r>
    </w:p>
    <w:p>
      <w:pPr>
        <w:adjustRightInd w:val="0"/>
        <w:snapToGrid w:val="0"/>
        <w:spacing w:line="360" w:lineRule="auto"/>
        <w:rPr>
          <w:rFonts w:ascii="宋体" w:hAnsi="宋体"/>
          <w:sz w:val="21"/>
          <w:highlight w:val="none"/>
        </w:rPr>
      </w:pPr>
      <w:r>
        <w:rPr>
          <w:rFonts w:hint="eastAsia" w:ascii="宋体" w:hAnsi="宋体"/>
          <w:sz w:val="21"/>
          <w:highlight w:val="none"/>
        </w:rPr>
        <w:t>开户银行：</w:t>
      </w:r>
      <w:r>
        <w:rPr>
          <w:rFonts w:hint="eastAsia" w:ascii="宋体" w:hAnsi="宋体"/>
          <w:sz w:val="21"/>
          <w:highlight w:val="none"/>
          <w:u w:val="single"/>
        </w:rPr>
        <w:t xml:space="preserve">                                         </w:t>
      </w:r>
    </w:p>
    <w:p>
      <w:pPr>
        <w:adjustRightInd w:val="0"/>
        <w:snapToGrid w:val="0"/>
        <w:spacing w:line="360" w:lineRule="auto"/>
        <w:rPr>
          <w:rFonts w:ascii="宋体" w:hAnsi="宋体"/>
          <w:sz w:val="21"/>
          <w:highlight w:val="none"/>
        </w:rPr>
      </w:pPr>
      <w:r>
        <w:rPr>
          <w:rFonts w:hint="eastAsia" w:ascii="宋体" w:hAnsi="宋体"/>
          <w:sz w:val="21"/>
          <w:highlight w:val="none"/>
        </w:rPr>
        <w:t>银行账号：</w:t>
      </w:r>
      <w:r>
        <w:rPr>
          <w:rFonts w:hint="eastAsia" w:ascii="宋体" w:hAnsi="宋体"/>
          <w:sz w:val="21"/>
          <w:highlight w:val="none"/>
          <w:u w:val="single"/>
        </w:rPr>
        <w:t xml:space="preserve">                                         </w:t>
      </w:r>
    </w:p>
    <w:p>
      <w:pPr>
        <w:adjustRightInd w:val="0"/>
        <w:snapToGrid w:val="0"/>
        <w:spacing w:line="360" w:lineRule="auto"/>
        <w:rPr>
          <w:rFonts w:ascii="宋体" w:hAnsi="宋体"/>
          <w:sz w:val="21"/>
          <w:highlight w:val="none"/>
        </w:rPr>
      </w:pPr>
      <w:r>
        <w:rPr>
          <w:rFonts w:hint="eastAsia" w:ascii="宋体" w:hAnsi="宋体"/>
          <w:sz w:val="21"/>
          <w:highlight w:val="none"/>
        </w:rPr>
        <w:t>响应供应商授权代表姓名、职务（印刷体）：</w:t>
      </w:r>
      <w:r>
        <w:rPr>
          <w:rFonts w:hint="eastAsia" w:ascii="宋体" w:hAnsi="宋体"/>
          <w:sz w:val="21"/>
          <w:highlight w:val="none"/>
          <w:u w:val="single"/>
        </w:rPr>
        <w:t xml:space="preserve">                        </w:t>
      </w:r>
      <w:r>
        <w:rPr>
          <w:rFonts w:hint="eastAsia" w:ascii="宋体" w:hAnsi="宋体"/>
          <w:sz w:val="21"/>
          <w:highlight w:val="none"/>
        </w:rPr>
        <w:t xml:space="preserve"> </w:t>
      </w:r>
    </w:p>
    <w:p>
      <w:pPr>
        <w:adjustRightInd w:val="0"/>
        <w:snapToGrid w:val="0"/>
        <w:spacing w:line="360" w:lineRule="auto"/>
        <w:rPr>
          <w:rFonts w:ascii="宋体" w:hAnsi="宋体"/>
          <w:sz w:val="21"/>
          <w:highlight w:val="none"/>
        </w:rPr>
      </w:pPr>
      <w:r>
        <w:rPr>
          <w:rFonts w:hint="eastAsia" w:ascii="宋体" w:hAnsi="宋体"/>
          <w:sz w:val="21"/>
          <w:highlight w:val="none"/>
        </w:rPr>
        <w:t>响应供应商名称（加盖响应供应商公章）：</w:t>
      </w:r>
      <w:r>
        <w:rPr>
          <w:rFonts w:hint="eastAsia" w:ascii="宋体" w:hAnsi="宋体"/>
          <w:sz w:val="21"/>
          <w:highlight w:val="none"/>
          <w:u w:val="single"/>
        </w:rPr>
        <w:t xml:space="preserve">                                     </w:t>
      </w:r>
    </w:p>
    <w:p>
      <w:pPr>
        <w:adjustRightInd w:val="0"/>
        <w:snapToGrid w:val="0"/>
        <w:spacing w:line="360" w:lineRule="auto"/>
        <w:rPr>
          <w:rFonts w:ascii="宋体" w:hAnsi="宋体"/>
          <w:sz w:val="21"/>
          <w:highlight w:val="none"/>
        </w:rPr>
      </w:pPr>
      <w:r>
        <w:rPr>
          <w:rFonts w:hint="eastAsia" w:ascii="宋体" w:hAnsi="宋体"/>
          <w:sz w:val="21"/>
          <w:highlight w:val="none"/>
        </w:rPr>
        <w:t>响应供应商授权代表签字：</w:t>
      </w:r>
      <w:r>
        <w:rPr>
          <w:rFonts w:hint="eastAsia" w:ascii="宋体" w:hAnsi="宋体"/>
          <w:sz w:val="21"/>
          <w:highlight w:val="none"/>
          <w:u w:val="single"/>
        </w:rPr>
        <w:t xml:space="preserve">                   </w:t>
      </w:r>
    </w:p>
    <w:p>
      <w:pPr>
        <w:adjustRightInd w:val="0"/>
        <w:snapToGrid w:val="0"/>
        <w:spacing w:after="163" w:afterLines="50" w:line="360" w:lineRule="auto"/>
        <w:rPr>
          <w:rFonts w:ascii="宋体" w:hAnsi="宋体"/>
          <w:sz w:val="21"/>
          <w:highlight w:val="none"/>
        </w:rPr>
      </w:pPr>
      <w:r>
        <w:rPr>
          <w:rFonts w:hint="eastAsia" w:ascii="宋体" w:hAnsi="宋体"/>
          <w:sz w:val="21"/>
          <w:highlight w:val="none"/>
        </w:rPr>
        <w:t>日期：</w:t>
      </w:r>
      <w:r>
        <w:rPr>
          <w:rFonts w:hint="eastAsia" w:ascii="宋体" w:hAnsi="宋体"/>
          <w:sz w:val="21"/>
          <w:highlight w:val="none"/>
          <w:u w:val="single"/>
        </w:rPr>
        <w:t xml:space="preserve">                   </w:t>
      </w:r>
      <w:r>
        <w:rPr>
          <w:rFonts w:ascii="宋体" w:hAnsi="宋体"/>
          <w:sz w:val="21"/>
          <w:highlight w:val="none"/>
        </w:rPr>
        <w:t xml:space="preserve">                        </w:t>
      </w:r>
    </w:p>
    <w:p>
      <w:pPr>
        <w:adjustRightInd w:val="0"/>
        <w:snapToGrid w:val="0"/>
        <w:spacing w:after="163" w:afterLines="50" w:line="360" w:lineRule="auto"/>
        <w:rPr>
          <w:rFonts w:ascii="宋体" w:hAnsi="宋体"/>
          <w:b/>
          <w:szCs w:val="24"/>
          <w:highlight w:val="none"/>
        </w:rPr>
      </w:pPr>
      <w:r>
        <w:rPr>
          <w:rFonts w:ascii="宋体" w:hAnsi="宋体"/>
          <w:sz w:val="21"/>
          <w:highlight w:val="none"/>
        </w:rPr>
        <w:br w:type="page"/>
      </w:r>
      <w:r>
        <w:rPr>
          <w:rFonts w:hint="eastAsia" w:ascii="宋体" w:hAnsi="宋体"/>
          <w:b/>
          <w:szCs w:val="24"/>
          <w:highlight w:val="none"/>
        </w:rPr>
        <w:t>附件2</w:t>
      </w:r>
    </w:p>
    <w:p>
      <w:pPr>
        <w:adjustRightInd w:val="0"/>
        <w:snapToGrid w:val="0"/>
        <w:spacing w:after="163" w:afterLines="50" w:line="360" w:lineRule="auto"/>
        <w:jc w:val="center"/>
        <w:rPr>
          <w:rFonts w:ascii="宋体" w:hAnsi="宋体"/>
          <w:b/>
          <w:sz w:val="32"/>
          <w:highlight w:val="none"/>
        </w:rPr>
      </w:pPr>
      <w:r>
        <w:rPr>
          <w:rFonts w:hint="eastAsia" w:ascii="宋体" w:hAnsi="宋体"/>
          <w:b/>
          <w:sz w:val="32"/>
          <w:highlight w:val="none"/>
        </w:rPr>
        <w:t>磋商报价表（首轮）</w:t>
      </w:r>
    </w:p>
    <w:p>
      <w:pPr>
        <w:adjustRightInd w:val="0"/>
        <w:snapToGrid w:val="0"/>
        <w:spacing w:after="163" w:afterLines="50" w:line="360" w:lineRule="auto"/>
        <w:rPr>
          <w:highlight w:val="none"/>
        </w:rPr>
      </w:pPr>
      <w:r>
        <w:rPr>
          <w:rFonts w:hint="eastAsia" w:ascii="宋体" w:hAnsi="宋体"/>
          <w:sz w:val="21"/>
          <w:highlight w:val="none"/>
        </w:rPr>
        <w:t>响应供应商名称：_______________ 项目</w:t>
      </w:r>
      <w:r>
        <w:rPr>
          <w:rFonts w:ascii="宋体" w:hAnsi="宋体"/>
          <w:sz w:val="21"/>
          <w:highlight w:val="none"/>
        </w:rPr>
        <w:t>编号：</w:t>
      </w:r>
      <w:r>
        <w:rPr>
          <w:rFonts w:hint="eastAsia" w:ascii="宋体" w:hAnsi="宋体"/>
          <w:sz w:val="21"/>
          <w:highlight w:val="none"/>
        </w:rPr>
        <w:t>_______________ 货币单位：</w:t>
      </w:r>
      <w:r>
        <w:rPr>
          <w:rFonts w:hint="eastAsia" w:ascii="宋体" w:hAnsi="宋体"/>
          <w:sz w:val="21"/>
          <w:highlight w:val="none"/>
          <w:u w:val="single"/>
        </w:rPr>
        <w:t>人民币/元</w:t>
      </w:r>
    </w:p>
    <w:tbl>
      <w:tblPr>
        <w:tblStyle w:val="47"/>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141"/>
        <w:gridCol w:w="638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64" w:hRule="exact"/>
          <w:jc w:val="center"/>
        </w:trPr>
        <w:tc>
          <w:tcPr>
            <w:tcW w:w="2141" w:type="dxa"/>
            <w:vAlign w:val="center"/>
          </w:tcPr>
          <w:p>
            <w:pPr>
              <w:widowControl/>
              <w:spacing w:line="360" w:lineRule="auto"/>
              <w:jc w:val="center"/>
              <w:rPr>
                <w:rFonts w:ascii="宋体" w:hAnsi="宋体"/>
                <w:sz w:val="21"/>
                <w:highlight w:val="none"/>
              </w:rPr>
            </w:pPr>
            <w:r>
              <w:rPr>
                <w:rFonts w:hint="eastAsia" w:ascii="宋体" w:hAnsi="宋体"/>
                <w:sz w:val="21"/>
                <w:highlight w:val="none"/>
              </w:rPr>
              <w:t>包号</w:t>
            </w:r>
          </w:p>
        </w:tc>
        <w:tc>
          <w:tcPr>
            <w:tcW w:w="6381" w:type="dxa"/>
            <w:vAlign w:val="center"/>
          </w:tcPr>
          <w:p>
            <w:pPr>
              <w:widowControl/>
              <w:spacing w:line="360" w:lineRule="auto"/>
              <w:jc w:val="center"/>
              <w:rPr>
                <w:rFonts w:ascii="宋体" w:hAnsi="宋体"/>
                <w:sz w:val="21"/>
                <w:highlight w:val="none"/>
              </w:rPr>
            </w:pPr>
            <w:r>
              <w:rPr>
                <w:rFonts w:hint="eastAsia" w:ascii="宋体" w:hAnsi="宋体"/>
                <w:sz w:val="21"/>
                <w:highlight w:val="none"/>
              </w:rPr>
              <w:t>项目名称</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64" w:hRule="exact"/>
          <w:jc w:val="center"/>
        </w:trPr>
        <w:tc>
          <w:tcPr>
            <w:tcW w:w="2141" w:type="dxa"/>
            <w:vAlign w:val="center"/>
          </w:tcPr>
          <w:p>
            <w:pPr>
              <w:widowControl/>
              <w:spacing w:line="360" w:lineRule="auto"/>
              <w:jc w:val="center"/>
              <w:rPr>
                <w:rFonts w:hint="eastAsia" w:ascii="宋体" w:hAnsi="宋体" w:eastAsia="宋体"/>
                <w:sz w:val="21"/>
                <w:highlight w:val="none"/>
                <w:lang w:val="en-US" w:eastAsia="zh-CN"/>
              </w:rPr>
            </w:pPr>
            <w:r>
              <w:rPr>
                <w:rFonts w:hint="eastAsia" w:ascii="宋体" w:hAnsi="宋体"/>
                <w:sz w:val="21"/>
                <w:highlight w:val="none"/>
                <w:lang w:val="en-US" w:eastAsia="zh-CN"/>
              </w:rPr>
              <w:t>1</w:t>
            </w:r>
          </w:p>
        </w:tc>
        <w:tc>
          <w:tcPr>
            <w:tcW w:w="6381" w:type="dxa"/>
            <w:vAlign w:val="center"/>
          </w:tcPr>
          <w:p>
            <w:pPr>
              <w:widowControl/>
              <w:spacing w:line="360" w:lineRule="auto"/>
              <w:jc w:val="center"/>
              <w:rPr>
                <w:rFonts w:ascii="宋体" w:hAnsi="宋体"/>
                <w:sz w:val="21"/>
                <w:highlight w:val="none"/>
              </w:rPr>
            </w:pPr>
            <w:r>
              <w:rPr>
                <w:rFonts w:hint="eastAsia" w:ascii="宋体" w:hAnsi="宋体" w:cs="宋体"/>
                <w:sz w:val="21"/>
                <w:highlight w:val="none"/>
                <w:lang w:eastAsia="zh-CN"/>
              </w:rPr>
              <w:t>2023年城市网格化综合管理信息系统分平台维护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64" w:hRule="exact"/>
          <w:jc w:val="center"/>
        </w:trPr>
        <w:tc>
          <w:tcPr>
            <w:tcW w:w="2141" w:type="dxa"/>
            <w:vAlign w:val="center"/>
          </w:tcPr>
          <w:p>
            <w:pPr>
              <w:widowControl/>
              <w:spacing w:line="360" w:lineRule="auto"/>
              <w:jc w:val="center"/>
              <w:rPr>
                <w:rFonts w:ascii="宋体" w:hAnsi="宋体"/>
                <w:sz w:val="21"/>
                <w:highlight w:val="none"/>
              </w:rPr>
            </w:pPr>
            <w:r>
              <w:rPr>
                <w:rFonts w:hint="eastAsia" w:ascii="宋体" w:hAnsi="宋体"/>
                <w:sz w:val="21"/>
                <w:highlight w:val="none"/>
              </w:rPr>
              <w:t>磋商报价（小写）</w:t>
            </w:r>
          </w:p>
        </w:tc>
        <w:tc>
          <w:tcPr>
            <w:tcW w:w="6381" w:type="dxa"/>
            <w:vAlign w:val="center"/>
          </w:tcPr>
          <w:p>
            <w:pPr>
              <w:widowControl/>
              <w:spacing w:line="360" w:lineRule="auto"/>
              <w:jc w:val="center"/>
              <w:rPr>
                <w:rFonts w:ascii="宋体" w:hAnsi="宋体"/>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64" w:hRule="exact"/>
          <w:jc w:val="center"/>
        </w:trPr>
        <w:tc>
          <w:tcPr>
            <w:tcW w:w="2141" w:type="dxa"/>
            <w:vAlign w:val="center"/>
          </w:tcPr>
          <w:p>
            <w:pPr>
              <w:widowControl/>
              <w:spacing w:line="360" w:lineRule="auto"/>
              <w:jc w:val="center"/>
              <w:rPr>
                <w:rFonts w:ascii="宋体" w:hAnsi="宋体"/>
                <w:sz w:val="21"/>
                <w:highlight w:val="none"/>
              </w:rPr>
            </w:pPr>
            <w:r>
              <w:rPr>
                <w:rFonts w:hint="eastAsia" w:ascii="宋体" w:hAnsi="宋体"/>
                <w:sz w:val="21"/>
                <w:highlight w:val="none"/>
              </w:rPr>
              <w:t>磋商报价（大写）</w:t>
            </w:r>
          </w:p>
        </w:tc>
        <w:tc>
          <w:tcPr>
            <w:tcW w:w="6381" w:type="dxa"/>
            <w:vAlign w:val="center"/>
          </w:tcPr>
          <w:p>
            <w:pPr>
              <w:widowControl/>
              <w:spacing w:line="360" w:lineRule="auto"/>
              <w:jc w:val="center"/>
              <w:rPr>
                <w:rFonts w:ascii="宋体" w:hAnsi="宋体"/>
                <w:sz w:val="21"/>
                <w:highlight w:val="none"/>
              </w:rPr>
            </w:pPr>
          </w:p>
        </w:tc>
      </w:tr>
    </w:tbl>
    <w:p>
      <w:pPr>
        <w:jc w:val="left"/>
        <w:rPr>
          <w:rFonts w:ascii="宋体" w:hAnsi="宋体"/>
          <w:szCs w:val="24"/>
          <w:highlight w:val="none"/>
        </w:rPr>
      </w:pPr>
    </w:p>
    <w:p>
      <w:pPr>
        <w:ind w:left="1290" w:hanging="420"/>
        <w:jc w:val="left"/>
        <w:rPr>
          <w:rFonts w:ascii="宋体" w:hAnsi="宋体"/>
          <w:szCs w:val="24"/>
          <w:highlight w:val="none"/>
        </w:rPr>
      </w:pPr>
    </w:p>
    <w:p>
      <w:pPr>
        <w:adjustRightInd w:val="0"/>
        <w:snapToGrid w:val="0"/>
        <w:spacing w:line="360" w:lineRule="auto"/>
        <w:rPr>
          <w:rFonts w:ascii="宋体" w:hAnsi="宋体"/>
          <w:sz w:val="21"/>
          <w:highlight w:val="none"/>
          <w:u w:val="single"/>
        </w:rPr>
      </w:pPr>
      <w:r>
        <w:rPr>
          <w:rFonts w:hint="eastAsia" w:ascii="宋体" w:hAnsi="宋体"/>
          <w:sz w:val="21"/>
          <w:highlight w:val="none"/>
        </w:rPr>
        <w:t>响应供应商授权代表签字：</w:t>
      </w:r>
      <w:r>
        <w:rPr>
          <w:rFonts w:ascii="宋体" w:hAnsi="宋体"/>
          <w:sz w:val="21"/>
          <w:highlight w:val="none"/>
          <w:u w:val="single"/>
        </w:rPr>
        <w:t xml:space="preserve">                        </w:t>
      </w:r>
    </w:p>
    <w:p>
      <w:pPr>
        <w:spacing w:line="360" w:lineRule="auto"/>
        <w:rPr>
          <w:rFonts w:ascii="宋体" w:hAnsi="宋体"/>
          <w:sz w:val="21"/>
          <w:highlight w:val="none"/>
        </w:rPr>
      </w:pPr>
      <w:r>
        <w:rPr>
          <w:rFonts w:hint="eastAsia" w:ascii="宋体" w:hAnsi="宋体"/>
          <w:sz w:val="21"/>
          <w:highlight w:val="none"/>
        </w:rPr>
        <w:t>（加盖响应供应商公章）</w:t>
      </w:r>
    </w:p>
    <w:p>
      <w:pPr>
        <w:spacing w:line="360" w:lineRule="auto"/>
        <w:rPr>
          <w:rFonts w:ascii="宋体" w:hAnsi="宋体"/>
          <w:sz w:val="21"/>
          <w:highlight w:val="none"/>
        </w:rPr>
      </w:pPr>
      <w:r>
        <w:rPr>
          <w:rFonts w:hint="eastAsia" w:ascii="宋体" w:hAnsi="宋体"/>
          <w:sz w:val="21"/>
          <w:highlight w:val="none"/>
        </w:rPr>
        <w:t>日期：</w:t>
      </w:r>
      <w:r>
        <w:rPr>
          <w:rFonts w:ascii="宋体" w:hAnsi="宋体"/>
          <w:sz w:val="21"/>
          <w:highlight w:val="none"/>
          <w:u w:val="single"/>
        </w:rPr>
        <w:t xml:space="preserve">                        </w:t>
      </w:r>
    </w:p>
    <w:p>
      <w:pPr>
        <w:adjustRightInd w:val="0"/>
        <w:snapToGrid w:val="0"/>
        <w:spacing w:line="360" w:lineRule="auto"/>
        <w:rPr>
          <w:rFonts w:ascii="宋体" w:hAnsi="宋体"/>
          <w:highlight w:val="none"/>
        </w:rPr>
      </w:pPr>
    </w:p>
    <w:p>
      <w:pPr>
        <w:adjustRightInd w:val="0"/>
        <w:snapToGrid w:val="0"/>
        <w:spacing w:line="360" w:lineRule="auto"/>
        <w:rPr>
          <w:rFonts w:ascii="宋体" w:hAnsi="宋体"/>
          <w:highlight w:val="none"/>
        </w:rPr>
      </w:pPr>
    </w:p>
    <w:p>
      <w:pPr>
        <w:spacing w:line="360" w:lineRule="auto"/>
        <w:rPr>
          <w:rFonts w:ascii="宋体" w:hAnsi="宋体"/>
          <w:b/>
          <w:szCs w:val="24"/>
          <w:highlight w:val="none"/>
        </w:rPr>
      </w:pPr>
      <w:r>
        <w:rPr>
          <w:rFonts w:ascii="宋体" w:hAnsi="宋体"/>
          <w:b/>
          <w:szCs w:val="24"/>
          <w:highlight w:val="none"/>
        </w:rPr>
        <w:br w:type="page"/>
      </w:r>
      <w:r>
        <w:rPr>
          <w:rFonts w:hint="eastAsia" w:ascii="宋体" w:hAnsi="宋体"/>
          <w:b/>
          <w:szCs w:val="24"/>
          <w:highlight w:val="none"/>
        </w:rPr>
        <w:t>附件3</w:t>
      </w:r>
    </w:p>
    <w:p>
      <w:pPr>
        <w:snapToGrid w:val="0"/>
        <w:spacing w:line="450" w:lineRule="atLeast"/>
        <w:jc w:val="center"/>
        <w:rPr>
          <w:rFonts w:ascii="宋体" w:hAnsi="宋体"/>
          <w:b/>
          <w:sz w:val="44"/>
          <w:highlight w:val="none"/>
        </w:rPr>
      </w:pPr>
      <w:r>
        <w:rPr>
          <w:rFonts w:hint="eastAsia" w:ascii="宋体" w:hAnsi="宋体"/>
          <w:b/>
          <w:spacing w:val="20"/>
          <w:sz w:val="32"/>
          <w:highlight w:val="none"/>
        </w:rPr>
        <w:t>分项报价表</w:t>
      </w:r>
    </w:p>
    <w:p>
      <w:pPr>
        <w:snapToGrid w:val="0"/>
        <w:spacing w:line="450" w:lineRule="atLeast"/>
        <w:jc w:val="center"/>
        <w:rPr>
          <w:rFonts w:ascii="宋体" w:hAnsi="宋体"/>
          <w:b/>
          <w:sz w:val="21"/>
          <w:highlight w:val="none"/>
        </w:rPr>
      </w:pPr>
    </w:p>
    <w:p>
      <w:pPr>
        <w:adjustRightInd w:val="0"/>
        <w:snapToGrid w:val="0"/>
        <w:spacing w:after="163" w:afterLines="50" w:line="360" w:lineRule="auto"/>
        <w:rPr>
          <w:highlight w:val="none"/>
        </w:rPr>
      </w:pPr>
      <w:r>
        <w:rPr>
          <w:rFonts w:hint="eastAsia" w:ascii="宋体" w:hAnsi="宋体"/>
          <w:sz w:val="21"/>
          <w:highlight w:val="none"/>
        </w:rPr>
        <w:t>响应供应商名称：_______________ 项目</w:t>
      </w:r>
      <w:r>
        <w:rPr>
          <w:rFonts w:ascii="宋体" w:hAnsi="宋体"/>
          <w:sz w:val="21"/>
          <w:highlight w:val="none"/>
        </w:rPr>
        <w:t>编号：</w:t>
      </w:r>
      <w:r>
        <w:rPr>
          <w:rFonts w:hint="eastAsia" w:ascii="宋体" w:hAnsi="宋体"/>
          <w:sz w:val="21"/>
          <w:highlight w:val="none"/>
        </w:rPr>
        <w:t>_______________ 货币单位：</w:t>
      </w:r>
      <w:r>
        <w:rPr>
          <w:rFonts w:hint="eastAsia" w:ascii="宋体" w:hAnsi="宋体"/>
          <w:sz w:val="21"/>
          <w:highlight w:val="none"/>
          <w:u w:val="single"/>
        </w:rPr>
        <w:t>人民币/元</w:t>
      </w:r>
    </w:p>
    <w:tbl>
      <w:tblPr>
        <w:tblStyle w:val="47"/>
        <w:tblW w:w="4998" w:type="pct"/>
        <w:tblInd w:w="0" w:type="dxa"/>
        <w:tblLayout w:type="autofit"/>
        <w:tblCellMar>
          <w:top w:w="0" w:type="dxa"/>
          <w:left w:w="108" w:type="dxa"/>
          <w:bottom w:w="0" w:type="dxa"/>
          <w:right w:w="108" w:type="dxa"/>
        </w:tblCellMar>
      </w:tblPr>
      <w:tblGrid>
        <w:gridCol w:w="896"/>
        <w:gridCol w:w="1345"/>
        <w:gridCol w:w="3587"/>
        <w:gridCol w:w="897"/>
        <w:gridCol w:w="897"/>
        <w:gridCol w:w="897"/>
      </w:tblGrid>
      <w:tr>
        <w:tblPrEx>
          <w:tblCellMar>
            <w:top w:w="0" w:type="dxa"/>
            <w:left w:w="108" w:type="dxa"/>
            <w:bottom w:w="0" w:type="dxa"/>
            <w:right w:w="108" w:type="dxa"/>
          </w:tblCellMar>
        </w:tblPrEx>
        <w:trPr>
          <w:trHeight w:val="567" w:hRule="atLeast"/>
        </w:trPr>
        <w:tc>
          <w:tcPr>
            <w:tcW w:w="500" w:type="pct"/>
            <w:tcBorders>
              <w:top w:val="single" w:color="auto" w:sz="4" w:space="0"/>
              <w:left w:val="single" w:color="auto" w:sz="4" w:space="0"/>
              <w:bottom w:val="single" w:color="auto" w:sz="4" w:space="0"/>
              <w:right w:val="single" w:color="auto" w:sz="4" w:space="0"/>
            </w:tcBorders>
            <w:shd w:val="clear" w:color="auto" w:fill="A6A6A6"/>
            <w:vAlign w:val="center"/>
          </w:tcPr>
          <w:p>
            <w:pPr>
              <w:jc w:val="center"/>
              <w:rPr>
                <w:rFonts w:ascii="宋体" w:cs="宋体"/>
                <w:b/>
                <w:bCs/>
                <w:highlight w:val="none"/>
              </w:rPr>
            </w:pPr>
            <w:r>
              <w:rPr>
                <w:rFonts w:hint="eastAsia" w:ascii="宋体" w:hAnsi="宋体" w:cs="宋体"/>
                <w:b/>
                <w:bCs/>
                <w:highlight w:val="none"/>
              </w:rPr>
              <w:t>序号</w:t>
            </w:r>
          </w:p>
        </w:tc>
        <w:tc>
          <w:tcPr>
            <w:tcW w:w="750" w:type="pct"/>
            <w:tcBorders>
              <w:top w:val="single" w:color="auto" w:sz="4" w:space="0"/>
              <w:left w:val="nil"/>
              <w:bottom w:val="single" w:color="auto" w:sz="4" w:space="0"/>
              <w:right w:val="single" w:color="auto" w:sz="4" w:space="0"/>
            </w:tcBorders>
            <w:shd w:val="clear" w:color="auto" w:fill="A6A6A6"/>
            <w:vAlign w:val="center"/>
          </w:tcPr>
          <w:p>
            <w:pPr>
              <w:jc w:val="center"/>
              <w:rPr>
                <w:rFonts w:ascii="宋体" w:cs="宋体"/>
                <w:b/>
                <w:bCs/>
                <w:highlight w:val="none"/>
              </w:rPr>
            </w:pPr>
            <w:r>
              <w:rPr>
                <w:rFonts w:hint="eastAsia" w:ascii="宋体" w:hAnsi="宋体" w:cs="宋体"/>
                <w:b/>
                <w:bCs/>
                <w:highlight w:val="none"/>
              </w:rPr>
              <w:t>项目</w:t>
            </w:r>
          </w:p>
        </w:tc>
        <w:tc>
          <w:tcPr>
            <w:tcW w:w="2000" w:type="pct"/>
            <w:tcBorders>
              <w:top w:val="single" w:color="auto" w:sz="4" w:space="0"/>
              <w:left w:val="nil"/>
              <w:bottom w:val="single" w:color="auto" w:sz="4" w:space="0"/>
              <w:right w:val="single" w:color="auto" w:sz="4" w:space="0"/>
            </w:tcBorders>
            <w:shd w:val="clear" w:color="auto" w:fill="A6A6A6"/>
            <w:vAlign w:val="center"/>
          </w:tcPr>
          <w:p>
            <w:pPr>
              <w:jc w:val="center"/>
              <w:rPr>
                <w:rFonts w:hint="eastAsia" w:ascii="宋体" w:hAnsi="宋体" w:eastAsia="宋体" w:cs="宋体"/>
                <w:b/>
                <w:bCs/>
                <w:highlight w:val="none"/>
                <w:lang w:val="en-US" w:eastAsia="zh-CN"/>
              </w:rPr>
            </w:pPr>
            <w:r>
              <w:rPr>
                <w:rFonts w:hint="eastAsia" w:ascii="宋体" w:hAnsi="宋体" w:cs="宋体"/>
                <w:b/>
                <w:bCs/>
                <w:highlight w:val="none"/>
              </w:rPr>
              <w:t>服务内容描述</w:t>
            </w:r>
          </w:p>
        </w:tc>
        <w:tc>
          <w:tcPr>
            <w:tcW w:w="500" w:type="pct"/>
            <w:tcBorders>
              <w:top w:val="single" w:color="auto" w:sz="4" w:space="0"/>
              <w:left w:val="nil"/>
              <w:bottom w:val="single" w:color="auto" w:sz="4" w:space="0"/>
              <w:right w:val="single" w:color="auto" w:sz="4" w:space="0"/>
            </w:tcBorders>
            <w:shd w:val="clear" w:color="auto" w:fill="A6A6A6"/>
            <w:vAlign w:val="center"/>
          </w:tcPr>
          <w:p>
            <w:pPr>
              <w:jc w:val="center"/>
              <w:rPr>
                <w:rFonts w:hint="eastAsia" w:ascii="宋体" w:hAnsi="宋体" w:cs="宋体"/>
                <w:b/>
                <w:bCs/>
                <w:highlight w:val="none"/>
              </w:rPr>
            </w:pPr>
            <w:r>
              <w:rPr>
                <w:rFonts w:hint="eastAsia" w:ascii="宋体" w:hAnsi="宋体" w:cs="宋体"/>
                <w:b/>
                <w:bCs/>
                <w:highlight w:val="none"/>
                <w:lang w:val="en-US" w:eastAsia="zh-CN"/>
              </w:rPr>
              <w:t>单价</w:t>
            </w:r>
          </w:p>
        </w:tc>
        <w:tc>
          <w:tcPr>
            <w:tcW w:w="500" w:type="pct"/>
            <w:tcBorders>
              <w:top w:val="single" w:color="auto" w:sz="4" w:space="0"/>
              <w:left w:val="nil"/>
              <w:bottom w:val="single" w:color="auto" w:sz="4" w:space="0"/>
              <w:right w:val="single" w:color="auto" w:sz="4" w:space="0"/>
            </w:tcBorders>
            <w:shd w:val="clear" w:color="auto" w:fill="A6A6A6"/>
            <w:vAlign w:val="center"/>
          </w:tcPr>
          <w:p>
            <w:pPr>
              <w:jc w:val="center"/>
              <w:rPr>
                <w:rFonts w:ascii="宋体" w:cs="宋体"/>
                <w:b/>
                <w:bCs/>
                <w:highlight w:val="none"/>
              </w:rPr>
            </w:pPr>
            <w:r>
              <w:rPr>
                <w:rFonts w:hint="eastAsia" w:ascii="宋体" w:hAnsi="宋体" w:cs="宋体"/>
                <w:b/>
                <w:bCs/>
                <w:highlight w:val="none"/>
                <w:lang w:val="en-US" w:eastAsia="zh-CN"/>
              </w:rPr>
              <w:t>数量</w:t>
            </w:r>
          </w:p>
        </w:tc>
        <w:tc>
          <w:tcPr>
            <w:tcW w:w="500" w:type="pct"/>
            <w:tcBorders>
              <w:top w:val="single" w:color="auto" w:sz="4" w:space="0"/>
              <w:left w:val="nil"/>
              <w:bottom w:val="single" w:color="auto" w:sz="4" w:space="0"/>
              <w:right w:val="single" w:color="auto" w:sz="4" w:space="0"/>
            </w:tcBorders>
            <w:shd w:val="clear" w:color="auto" w:fill="A6A6A6"/>
            <w:vAlign w:val="center"/>
          </w:tcPr>
          <w:p>
            <w:pPr>
              <w:jc w:val="center"/>
              <w:rPr>
                <w:rFonts w:hint="eastAsia" w:ascii="宋体" w:eastAsia="宋体" w:cs="宋体"/>
                <w:b/>
                <w:bCs/>
                <w:highlight w:val="none"/>
                <w:lang w:eastAsia="zh-CN"/>
              </w:rPr>
            </w:pPr>
            <w:r>
              <w:rPr>
                <w:rFonts w:hint="eastAsia" w:ascii="宋体" w:hAnsi="宋体" w:cs="宋体"/>
                <w:b/>
                <w:bCs/>
                <w:highlight w:val="none"/>
                <w:lang w:val="en-US" w:eastAsia="zh-CN"/>
              </w:rPr>
              <w:t>总价</w:t>
            </w:r>
          </w:p>
        </w:tc>
      </w:tr>
      <w:tr>
        <w:tblPrEx>
          <w:tblCellMar>
            <w:top w:w="0" w:type="dxa"/>
            <w:left w:w="108" w:type="dxa"/>
            <w:bottom w:w="0" w:type="dxa"/>
            <w:right w:w="108" w:type="dxa"/>
          </w:tblCellMar>
        </w:tblPrEx>
        <w:trPr>
          <w:trHeight w:val="567" w:hRule="atLeast"/>
        </w:trPr>
        <w:tc>
          <w:tcPr>
            <w:tcW w:w="500"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highlight w:val="none"/>
              </w:rPr>
            </w:pPr>
          </w:p>
        </w:tc>
        <w:tc>
          <w:tcPr>
            <w:tcW w:w="750" w:type="pct"/>
            <w:tcBorders>
              <w:top w:val="single" w:color="auto" w:sz="4" w:space="0"/>
              <w:left w:val="nil"/>
              <w:bottom w:val="single" w:color="auto" w:sz="4" w:space="0"/>
              <w:right w:val="single" w:color="auto" w:sz="4" w:space="0"/>
            </w:tcBorders>
            <w:vAlign w:val="center"/>
          </w:tcPr>
          <w:p>
            <w:pPr>
              <w:jc w:val="center"/>
              <w:rPr>
                <w:rFonts w:ascii="宋体" w:cs="宋体"/>
                <w:highlight w:val="none"/>
              </w:rPr>
            </w:pPr>
          </w:p>
        </w:tc>
        <w:tc>
          <w:tcPr>
            <w:tcW w:w="2000" w:type="pct"/>
            <w:tcBorders>
              <w:top w:val="single" w:color="auto" w:sz="4" w:space="0"/>
              <w:left w:val="nil"/>
              <w:bottom w:val="single" w:color="auto" w:sz="4" w:space="0"/>
              <w:right w:val="single" w:color="auto" w:sz="4" w:space="0"/>
            </w:tcBorders>
            <w:vAlign w:val="center"/>
          </w:tcPr>
          <w:p>
            <w:pPr>
              <w:jc w:val="center"/>
              <w:rPr>
                <w:rFonts w:ascii="宋体" w:cs="宋体"/>
                <w:highlight w:val="none"/>
              </w:rPr>
            </w:pPr>
          </w:p>
        </w:tc>
        <w:tc>
          <w:tcPr>
            <w:tcW w:w="500" w:type="pct"/>
            <w:tcBorders>
              <w:top w:val="single" w:color="auto" w:sz="4" w:space="0"/>
              <w:left w:val="nil"/>
              <w:bottom w:val="single" w:color="auto" w:sz="4" w:space="0"/>
              <w:right w:val="single" w:color="auto" w:sz="4" w:space="0"/>
            </w:tcBorders>
            <w:vAlign w:val="center"/>
          </w:tcPr>
          <w:p>
            <w:pPr>
              <w:jc w:val="center"/>
              <w:rPr>
                <w:rFonts w:hint="default" w:ascii="宋体" w:eastAsia="宋体" w:cs="宋体"/>
                <w:highlight w:val="none"/>
                <w:lang w:val="en-US" w:eastAsia="zh-CN"/>
              </w:rPr>
            </w:pPr>
          </w:p>
        </w:tc>
        <w:tc>
          <w:tcPr>
            <w:tcW w:w="500" w:type="pct"/>
            <w:tcBorders>
              <w:top w:val="single" w:color="auto" w:sz="4" w:space="0"/>
              <w:left w:val="nil"/>
              <w:bottom w:val="single" w:color="auto" w:sz="4" w:space="0"/>
              <w:right w:val="single" w:color="auto" w:sz="4" w:space="0"/>
            </w:tcBorders>
            <w:vAlign w:val="center"/>
          </w:tcPr>
          <w:p>
            <w:pPr>
              <w:jc w:val="center"/>
              <w:rPr>
                <w:rFonts w:ascii="宋体" w:cs="宋体"/>
                <w:highlight w:val="none"/>
              </w:rPr>
            </w:pPr>
          </w:p>
        </w:tc>
        <w:tc>
          <w:tcPr>
            <w:tcW w:w="500" w:type="pct"/>
            <w:tcBorders>
              <w:top w:val="single" w:color="auto" w:sz="4" w:space="0"/>
              <w:left w:val="nil"/>
              <w:bottom w:val="single" w:color="auto" w:sz="4" w:space="0"/>
              <w:right w:val="single" w:color="auto" w:sz="4" w:space="0"/>
            </w:tcBorders>
            <w:vAlign w:val="center"/>
          </w:tcPr>
          <w:p>
            <w:pPr>
              <w:jc w:val="center"/>
              <w:rPr>
                <w:rFonts w:ascii="宋体" w:cs="宋体"/>
                <w:highlight w:val="none"/>
              </w:rPr>
            </w:pPr>
          </w:p>
        </w:tc>
      </w:tr>
      <w:tr>
        <w:tblPrEx>
          <w:tblCellMar>
            <w:top w:w="0" w:type="dxa"/>
            <w:left w:w="108" w:type="dxa"/>
            <w:bottom w:w="0" w:type="dxa"/>
            <w:right w:w="108" w:type="dxa"/>
          </w:tblCellMar>
        </w:tblPrEx>
        <w:trPr>
          <w:trHeight w:val="567" w:hRule="atLeast"/>
        </w:trPr>
        <w:tc>
          <w:tcPr>
            <w:tcW w:w="500"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highlight w:val="none"/>
              </w:rPr>
            </w:pPr>
          </w:p>
        </w:tc>
        <w:tc>
          <w:tcPr>
            <w:tcW w:w="750" w:type="pct"/>
            <w:tcBorders>
              <w:top w:val="single" w:color="auto" w:sz="4" w:space="0"/>
              <w:left w:val="nil"/>
              <w:bottom w:val="single" w:color="auto" w:sz="4" w:space="0"/>
              <w:right w:val="single" w:color="auto" w:sz="4" w:space="0"/>
            </w:tcBorders>
            <w:vAlign w:val="center"/>
          </w:tcPr>
          <w:p>
            <w:pPr>
              <w:jc w:val="center"/>
              <w:rPr>
                <w:rFonts w:ascii="宋体" w:cs="宋体"/>
                <w:highlight w:val="none"/>
              </w:rPr>
            </w:pPr>
          </w:p>
        </w:tc>
        <w:tc>
          <w:tcPr>
            <w:tcW w:w="2000" w:type="pct"/>
            <w:tcBorders>
              <w:top w:val="single" w:color="auto" w:sz="4" w:space="0"/>
              <w:left w:val="nil"/>
              <w:bottom w:val="single" w:color="auto" w:sz="4" w:space="0"/>
              <w:right w:val="single" w:color="auto" w:sz="4" w:space="0"/>
            </w:tcBorders>
            <w:vAlign w:val="center"/>
          </w:tcPr>
          <w:p>
            <w:pPr>
              <w:jc w:val="center"/>
              <w:rPr>
                <w:rFonts w:ascii="宋体" w:cs="宋体"/>
                <w:highlight w:val="none"/>
              </w:rPr>
            </w:pPr>
          </w:p>
        </w:tc>
        <w:tc>
          <w:tcPr>
            <w:tcW w:w="500" w:type="pct"/>
            <w:tcBorders>
              <w:top w:val="single" w:color="auto" w:sz="4" w:space="0"/>
              <w:left w:val="nil"/>
              <w:bottom w:val="single" w:color="auto" w:sz="4" w:space="0"/>
              <w:right w:val="single" w:color="auto" w:sz="4" w:space="0"/>
            </w:tcBorders>
            <w:vAlign w:val="center"/>
          </w:tcPr>
          <w:p>
            <w:pPr>
              <w:jc w:val="center"/>
              <w:rPr>
                <w:rFonts w:ascii="宋体" w:cs="宋体"/>
                <w:highlight w:val="none"/>
              </w:rPr>
            </w:pPr>
          </w:p>
        </w:tc>
        <w:tc>
          <w:tcPr>
            <w:tcW w:w="500" w:type="pct"/>
            <w:tcBorders>
              <w:top w:val="single" w:color="auto" w:sz="4" w:space="0"/>
              <w:left w:val="nil"/>
              <w:bottom w:val="single" w:color="auto" w:sz="4" w:space="0"/>
              <w:right w:val="single" w:color="auto" w:sz="4" w:space="0"/>
            </w:tcBorders>
            <w:vAlign w:val="center"/>
          </w:tcPr>
          <w:p>
            <w:pPr>
              <w:jc w:val="center"/>
              <w:rPr>
                <w:rFonts w:ascii="宋体" w:cs="宋体"/>
                <w:highlight w:val="none"/>
              </w:rPr>
            </w:pPr>
          </w:p>
        </w:tc>
        <w:tc>
          <w:tcPr>
            <w:tcW w:w="500" w:type="pct"/>
            <w:tcBorders>
              <w:top w:val="single" w:color="auto" w:sz="4" w:space="0"/>
              <w:left w:val="nil"/>
              <w:bottom w:val="single" w:color="auto" w:sz="4" w:space="0"/>
              <w:right w:val="single" w:color="auto" w:sz="4" w:space="0"/>
            </w:tcBorders>
            <w:vAlign w:val="center"/>
          </w:tcPr>
          <w:p>
            <w:pPr>
              <w:widowControl/>
              <w:jc w:val="center"/>
              <w:rPr>
                <w:rFonts w:ascii="宋体" w:cs="宋体"/>
                <w:highlight w:val="none"/>
              </w:rPr>
            </w:pPr>
          </w:p>
        </w:tc>
      </w:tr>
      <w:tr>
        <w:tblPrEx>
          <w:tblCellMar>
            <w:top w:w="0" w:type="dxa"/>
            <w:left w:w="108" w:type="dxa"/>
            <w:bottom w:w="0" w:type="dxa"/>
            <w:right w:w="108" w:type="dxa"/>
          </w:tblCellMar>
        </w:tblPrEx>
        <w:trPr>
          <w:trHeight w:val="567" w:hRule="atLeast"/>
        </w:trPr>
        <w:tc>
          <w:tcPr>
            <w:tcW w:w="500"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highlight w:val="none"/>
              </w:rPr>
            </w:pPr>
          </w:p>
        </w:tc>
        <w:tc>
          <w:tcPr>
            <w:tcW w:w="750" w:type="pct"/>
            <w:tcBorders>
              <w:top w:val="single" w:color="auto" w:sz="4" w:space="0"/>
              <w:left w:val="nil"/>
              <w:bottom w:val="single" w:color="auto" w:sz="4" w:space="0"/>
              <w:right w:val="single" w:color="auto" w:sz="4" w:space="0"/>
            </w:tcBorders>
            <w:vAlign w:val="center"/>
          </w:tcPr>
          <w:p>
            <w:pPr>
              <w:jc w:val="center"/>
              <w:rPr>
                <w:rFonts w:ascii="宋体" w:cs="宋体"/>
                <w:highlight w:val="none"/>
              </w:rPr>
            </w:pPr>
          </w:p>
        </w:tc>
        <w:tc>
          <w:tcPr>
            <w:tcW w:w="2000" w:type="pct"/>
            <w:tcBorders>
              <w:top w:val="single" w:color="auto" w:sz="4" w:space="0"/>
              <w:left w:val="nil"/>
              <w:bottom w:val="single" w:color="auto" w:sz="4" w:space="0"/>
              <w:right w:val="single" w:color="auto" w:sz="4" w:space="0"/>
            </w:tcBorders>
            <w:vAlign w:val="center"/>
          </w:tcPr>
          <w:p>
            <w:pPr>
              <w:jc w:val="center"/>
              <w:rPr>
                <w:rFonts w:ascii="宋体" w:cs="宋体"/>
                <w:highlight w:val="none"/>
              </w:rPr>
            </w:pPr>
          </w:p>
        </w:tc>
        <w:tc>
          <w:tcPr>
            <w:tcW w:w="500" w:type="pct"/>
            <w:tcBorders>
              <w:top w:val="single" w:color="auto" w:sz="4" w:space="0"/>
              <w:left w:val="nil"/>
              <w:bottom w:val="single" w:color="auto" w:sz="4" w:space="0"/>
              <w:right w:val="single" w:color="auto" w:sz="4" w:space="0"/>
            </w:tcBorders>
            <w:vAlign w:val="center"/>
          </w:tcPr>
          <w:p>
            <w:pPr>
              <w:jc w:val="center"/>
              <w:rPr>
                <w:rFonts w:ascii="宋体" w:cs="宋体"/>
                <w:highlight w:val="none"/>
              </w:rPr>
            </w:pPr>
          </w:p>
        </w:tc>
        <w:tc>
          <w:tcPr>
            <w:tcW w:w="500" w:type="pct"/>
            <w:tcBorders>
              <w:top w:val="single" w:color="auto" w:sz="4" w:space="0"/>
              <w:left w:val="nil"/>
              <w:bottom w:val="single" w:color="auto" w:sz="4" w:space="0"/>
              <w:right w:val="single" w:color="auto" w:sz="4" w:space="0"/>
            </w:tcBorders>
            <w:vAlign w:val="center"/>
          </w:tcPr>
          <w:p>
            <w:pPr>
              <w:jc w:val="center"/>
              <w:rPr>
                <w:rFonts w:ascii="宋体" w:cs="宋体"/>
                <w:highlight w:val="none"/>
              </w:rPr>
            </w:pPr>
          </w:p>
        </w:tc>
        <w:tc>
          <w:tcPr>
            <w:tcW w:w="500" w:type="pct"/>
            <w:tcBorders>
              <w:top w:val="single" w:color="auto" w:sz="4" w:space="0"/>
              <w:left w:val="nil"/>
              <w:bottom w:val="single" w:color="auto" w:sz="4" w:space="0"/>
              <w:right w:val="single" w:color="auto" w:sz="4" w:space="0"/>
            </w:tcBorders>
            <w:vAlign w:val="center"/>
          </w:tcPr>
          <w:p>
            <w:pPr>
              <w:widowControl/>
              <w:jc w:val="center"/>
              <w:rPr>
                <w:rFonts w:ascii="宋体" w:cs="宋体"/>
                <w:highlight w:val="none"/>
              </w:rPr>
            </w:pPr>
          </w:p>
        </w:tc>
      </w:tr>
      <w:tr>
        <w:tblPrEx>
          <w:tblCellMar>
            <w:top w:w="0" w:type="dxa"/>
            <w:left w:w="108" w:type="dxa"/>
            <w:bottom w:w="0" w:type="dxa"/>
            <w:right w:w="108" w:type="dxa"/>
          </w:tblCellMar>
        </w:tblPrEx>
        <w:trPr>
          <w:trHeight w:val="567" w:hRule="atLeast"/>
        </w:trPr>
        <w:tc>
          <w:tcPr>
            <w:tcW w:w="500"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highlight w:val="none"/>
              </w:rPr>
            </w:pPr>
          </w:p>
        </w:tc>
        <w:tc>
          <w:tcPr>
            <w:tcW w:w="750" w:type="pct"/>
            <w:tcBorders>
              <w:top w:val="single" w:color="auto" w:sz="4" w:space="0"/>
              <w:left w:val="nil"/>
              <w:bottom w:val="single" w:color="auto" w:sz="4" w:space="0"/>
              <w:right w:val="single" w:color="auto" w:sz="4" w:space="0"/>
            </w:tcBorders>
            <w:vAlign w:val="center"/>
          </w:tcPr>
          <w:p>
            <w:pPr>
              <w:jc w:val="center"/>
              <w:rPr>
                <w:rFonts w:ascii="宋体" w:cs="宋体"/>
                <w:highlight w:val="none"/>
              </w:rPr>
            </w:pPr>
          </w:p>
        </w:tc>
        <w:tc>
          <w:tcPr>
            <w:tcW w:w="2000" w:type="pct"/>
            <w:tcBorders>
              <w:top w:val="single" w:color="auto" w:sz="4" w:space="0"/>
              <w:left w:val="nil"/>
              <w:bottom w:val="single" w:color="auto" w:sz="4" w:space="0"/>
              <w:right w:val="single" w:color="auto" w:sz="4" w:space="0"/>
            </w:tcBorders>
            <w:vAlign w:val="center"/>
          </w:tcPr>
          <w:p>
            <w:pPr>
              <w:jc w:val="center"/>
              <w:rPr>
                <w:rFonts w:ascii="宋体" w:cs="宋体"/>
                <w:highlight w:val="none"/>
              </w:rPr>
            </w:pPr>
          </w:p>
        </w:tc>
        <w:tc>
          <w:tcPr>
            <w:tcW w:w="500" w:type="pct"/>
            <w:tcBorders>
              <w:top w:val="single" w:color="auto" w:sz="4" w:space="0"/>
              <w:left w:val="nil"/>
              <w:bottom w:val="single" w:color="auto" w:sz="4" w:space="0"/>
              <w:right w:val="single" w:color="auto" w:sz="4" w:space="0"/>
            </w:tcBorders>
            <w:vAlign w:val="center"/>
          </w:tcPr>
          <w:p>
            <w:pPr>
              <w:jc w:val="center"/>
              <w:rPr>
                <w:rFonts w:ascii="宋体" w:cs="宋体"/>
                <w:highlight w:val="none"/>
              </w:rPr>
            </w:pPr>
          </w:p>
        </w:tc>
        <w:tc>
          <w:tcPr>
            <w:tcW w:w="500" w:type="pct"/>
            <w:tcBorders>
              <w:top w:val="single" w:color="auto" w:sz="4" w:space="0"/>
              <w:left w:val="nil"/>
              <w:bottom w:val="single" w:color="auto" w:sz="4" w:space="0"/>
              <w:right w:val="single" w:color="auto" w:sz="4" w:space="0"/>
            </w:tcBorders>
            <w:vAlign w:val="center"/>
          </w:tcPr>
          <w:p>
            <w:pPr>
              <w:jc w:val="center"/>
              <w:rPr>
                <w:rFonts w:ascii="宋体" w:cs="宋体"/>
                <w:highlight w:val="none"/>
              </w:rPr>
            </w:pPr>
          </w:p>
        </w:tc>
        <w:tc>
          <w:tcPr>
            <w:tcW w:w="500" w:type="pct"/>
            <w:tcBorders>
              <w:top w:val="single" w:color="auto" w:sz="4" w:space="0"/>
              <w:left w:val="nil"/>
              <w:bottom w:val="single" w:color="auto" w:sz="4" w:space="0"/>
              <w:right w:val="single" w:color="auto" w:sz="4" w:space="0"/>
            </w:tcBorders>
            <w:vAlign w:val="center"/>
          </w:tcPr>
          <w:p>
            <w:pPr>
              <w:widowControl/>
              <w:jc w:val="center"/>
              <w:rPr>
                <w:rFonts w:ascii="宋体" w:cs="宋体"/>
                <w:highlight w:val="none"/>
              </w:rPr>
            </w:pPr>
          </w:p>
        </w:tc>
      </w:tr>
      <w:tr>
        <w:tblPrEx>
          <w:tblCellMar>
            <w:top w:w="0" w:type="dxa"/>
            <w:left w:w="108" w:type="dxa"/>
            <w:bottom w:w="0" w:type="dxa"/>
            <w:right w:w="108" w:type="dxa"/>
          </w:tblCellMar>
        </w:tblPrEx>
        <w:trPr>
          <w:trHeight w:val="567" w:hRule="atLeast"/>
        </w:trPr>
        <w:tc>
          <w:tcPr>
            <w:tcW w:w="500"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highlight w:val="none"/>
              </w:rPr>
            </w:pPr>
          </w:p>
        </w:tc>
        <w:tc>
          <w:tcPr>
            <w:tcW w:w="750" w:type="pct"/>
            <w:tcBorders>
              <w:top w:val="single" w:color="auto" w:sz="4" w:space="0"/>
              <w:left w:val="nil"/>
              <w:bottom w:val="single" w:color="auto" w:sz="4" w:space="0"/>
              <w:right w:val="single" w:color="auto" w:sz="4" w:space="0"/>
            </w:tcBorders>
            <w:vAlign w:val="center"/>
          </w:tcPr>
          <w:p>
            <w:pPr>
              <w:jc w:val="center"/>
              <w:rPr>
                <w:rFonts w:ascii="宋体" w:cs="宋体"/>
                <w:highlight w:val="none"/>
              </w:rPr>
            </w:pPr>
          </w:p>
        </w:tc>
        <w:tc>
          <w:tcPr>
            <w:tcW w:w="2000" w:type="pct"/>
            <w:tcBorders>
              <w:top w:val="single" w:color="auto" w:sz="4" w:space="0"/>
              <w:left w:val="nil"/>
              <w:bottom w:val="single" w:color="auto" w:sz="4" w:space="0"/>
              <w:right w:val="single" w:color="auto" w:sz="4" w:space="0"/>
            </w:tcBorders>
            <w:vAlign w:val="center"/>
          </w:tcPr>
          <w:p>
            <w:pPr>
              <w:jc w:val="center"/>
              <w:rPr>
                <w:rFonts w:ascii="宋体" w:cs="宋体"/>
                <w:highlight w:val="none"/>
              </w:rPr>
            </w:pPr>
          </w:p>
        </w:tc>
        <w:tc>
          <w:tcPr>
            <w:tcW w:w="500" w:type="pct"/>
            <w:tcBorders>
              <w:top w:val="single" w:color="auto" w:sz="4" w:space="0"/>
              <w:left w:val="nil"/>
              <w:bottom w:val="single" w:color="auto" w:sz="4" w:space="0"/>
              <w:right w:val="single" w:color="auto" w:sz="4" w:space="0"/>
            </w:tcBorders>
            <w:vAlign w:val="center"/>
          </w:tcPr>
          <w:p>
            <w:pPr>
              <w:jc w:val="center"/>
              <w:rPr>
                <w:rFonts w:ascii="宋体" w:cs="宋体"/>
                <w:highlight w:val="none"/>
              </w:rPr>
            </w:pPr>
          </w:p>
        </w:tc>
        <w:tc>
          <w:tcPr>
            <w:tcW w:w="500" w:type="pct"/>
            <w:tcBorders>
              <w:top w:val="single" w:color="auto" w:sz="4" w:space="0"/>
              <w:left w:val="nil"/>
              <w:bottom w:val="single" w:color="auto" w:sz="4" w:space="0"/>
              <w:right w:val="single" w:color="auto" w:sz="4" w:space="0"/>
            </w:tcBorders>
            <w:vAlign w:val="center"/>
          </w:tcPr>
          <w:p>
            <w:pPr>
              <w:jc w:val="center"/>
              <w:rPr>
                <w:rFonts w:ascii="宋体" w:cs="宋体"/>
                <w:highlight w:val="none"/>
              </w:rPr>
            </w:pPr>
          </w:p>
        </w:tc>
        <w:tc>
          <w:tcPr>
            <w:tcW w:w="500" w:type="pct"/>
            <w:tcBorders>
              <w:top w:val="single" w:color="auto" w:sz="4" w:space="0"/>
              <w:left w:val="nil"/>
              <w:bottom w:val="single" w:color="auto" w:sz="4" w:space="0"/>
              <w:right w:val="single" w:color="auto" w:sz="4" w:space="0"/>
            </w:tcBorders>
            <w:vAlign w:val="center"/>
          </w:tcPr>
          <w:p>
            <w:pPr>
              <w:jc w:val="center"/>
              <w:rPr>
                <w:rFonts w:ascii="宋体" w:cs="宋体"/>
                <w:highlight w:val="none"/>
              </w:rPr>
            </w:pPr>
          </w:p>
        </w:tc>
      </w:tr>
      <w:tr>
        <w:tblPrEx>
          <w:tblCellMar>
            <w:top w:w="0" w:type="dxa"/>
            <w:left w:w="108" w:type="dxa"/>
            <w:bottom w:w="0" w:type="dxa"/>
            <w:right w:w="108" w:type="dxa"/>
          </w:tblCellMar>
        </w:tblPrEx>
        <w:trPr>
          <w:trHeight w:val="567" w:hRule="atLeast"/>
        </w:trPr>
        <w:tc>
          <w:tcPr>
            <w:tcW w:w="500"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highlight w:val="none"/>
              </w:rPr>
            </w:pPr>
          </w:p>
        </w:tc>
        <w:tc>
          <w:tcPr>
            <w:tcW w:w="750" w:type="pct"/>
            <w:tcBorders>
              <w:top w:val="single" w:color="auto" w:sz="4" w:space="0"/>
              <w:left w:val="nil"/>
              <w:bottom w:val="single" w:color="auto" w:sz="4" w:space="0"/>
              <w:right w:val="single" w:color="auto" w:sz="4" w:space="0"/>
            </w:tcBorders>
            <w:vAlign w:val="center"/>
          </w:tcPr>
          <w:p>
            <w:pPr>
              <w:jc w:val="center"/>
              <w:rPr>
                <w:rFonts w:ascii="宋体" w:cs="宋体"/>
                <w:highlight w:val="none"/>
              </w:rPr>
            </w:pPr>
          </w:p>
        </w:tc>
        <w:tc>
          <w:tcPr>
            <w:tcW w:w="2000" w:type="pct"/>
            <w:tcBorders>
              <w:top w:val="single" w:color="auto" w:sz="4" w:space="0"/>
              <w:left w:val="nil"/>
              <w:bottom w:val="single" w:color="auto" w:sz="4" w:space="0"/>
              <w:right w:val="single" w:color="auto" w:sz="4" w:space="0"/>
            </w:tcBorders>
            <w:vAlign w:val="center"/>
          </w:tcPr>
          <w:p>
            <w:pPr>
              <w:jc w:val="center"/>
              <w:rPr>
                <w:rFonts w:ascii="宋体" w:cs="宋体"/>
                <w:highlight w:val="none"/>
              </w:rPr>
            </w:pPr>
          </w:p>
        </w:tc>
        <w:tc>
          <w:tcPr>
            <w:tcW w:w="500" w:type="pct"/>
            <w:tcBorders>
              <w:top w:val="single" w:color="auto" w:sz="4" w:space="0"/>
              <w:left w:val="nil"/>
              <w:bottom w:val="single" w:color="auto" w:sz="4" w:space="0"/>
              <w:right w:val="single" w:color="auto" w:sz="4" w:space="0"/>
            </w:tcBorders>
            <w:vAlign w:val="center"/>
          </w:tcPr>
          <w:p>
            <w:pPr>
              <w:jc w:val="center"/>
              <w:rPr>
                <w:rFonts w:ascii="宋体" w:cs="宋体"/>
                <w:highlight w:val="none"/>
              </w:rPr>
            </w:pPr>
          </w:p>
        </w:tc>
        <w:tc>
          <w:tcPr>
            <w:tcW w:w="500" w:type="pct"/>
            <w:tcBorders>
              <w:top w:val="single" w:color="auto" w:sz="4" w:space="0"/>
              <w:left w:val="nil"/>
              <w:bottom w:val="single" w:color="auto" w:sz="4" w:space="0"/>
              <w:right w:val="single" w:color="auto" w:sz="4" w:space="0"/>
            </w:tcBorders>
            <w:vAlign w:val="center"/>
          </w:tcPr>
          <w:p>
            <w:pPr>
              <w:jc w:val="center"/>
              <w:rPr>
                <w:rFonts w:ascii="宋体" w:cs="宋体"/>
                <w:highlight w:val="none"/>
              </w:rPr>
            </w:pPr>
          </w:p>
        </w:tc>
        <w:tc>
          <w:tcPr>
            <w:tcW w:w="500" w:type="pct"/>
            <w:tcBorders>
              <w:top w:val="single" w:color="auto" w:sz="4" w:space="0"/>
              <w:left w:val="nil"/>
              <w:bottom w:val="single" w:color="auto" w:sz="4" w:space="0"/>
              <w:right w:val="single" w:color="auto" w:sz="4" w:space="0"/>
            </w:tcBorders>
            <w:vAlign w:val="center"/>
          </w:tcPr>
          <w:p>
            <w:pPr>
              <w:widowControl/>
              <w:jc w:val="center"/>
              <w:rPr>
                <w:rFonts w:ascii="宋体" w:cs="宋体"/>
                <w:highlight w:val="none"/>
              </w:rPr>
            </w:pPr>
          </w:p>
        </w:tc>
      </w:tr>
      <w:tr>
        <w:tblPrEx>
          <w:tblCellMar>
            <w:top w:w="0" w:type="dxa"/>
            <w:left w:w="108" w:type="dxa"/>
            <w:bottom w:w="0" w:type="dxa"/>
            <w:right w:w="108" w:type="dxa"/>
          </w:tblCellMar>
        </w:tblPrEx>
        <w:trPr>
          <w:trHeight w:val="567" w:hRule="atLeast"/>
        </w:trPr>
        <w:tc>
          <w:tcPr>
            <w:tcW w:w="500"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highlight w:val="none"/>
              </w:rPr>
            </w:pPr>
          </w:p>
        </w:tc>
        <w:tc>
          <w:tcPr>
            <w:tcW w:w="750" w:type="pct"/>
            <w:tcBorders>
              <w:top w:val="single" w:color="auto" w:sz="4" w:space="0"/>
              <w:left w:val="nil"/>
              <w:bottom w:val="single" w:color="auto" w:sz="4" w:space="0"/>
              <w:right w:val="single" w:color="auto" w:sz="4" w:space="0"/>
            </w:tcBorders>
            <w:vAlign w:val="center"/>
          </w:tcPr>
          <w:p>
            <w:pPr>
              <w:jc w:val="center"/>
              <w:rPr>
                <w:rFonts w:ascii="宋体" w:cs="宋体"/>
                <w:highlight w:val="none"/>
              </w:rPr>
            </w:pPr>
          </w:p>
        </w:tc>
        <w:tc>
          <w:tcPr>
            <w:tcW w:w="2000" w:type="pct"/>
            <w:tcBorders>
              <w:top w:val="single" w:color="auto" w:sz="4" w:space="0"/>
              <w:left w:val="nil"/>
              <w:bottom w:val="single" w:color="auto" w:sz="4" w:space="0"/>
              <w:right w:val="single" w:color="auto" w:sz="4" w:space="0"/>
            </w:tcBorders>
            <w:vAlign w:val="center"/>
          </w:tcPr>
          <w:p>
            <w:pPr>
              <w:jc w:val="center"/>
              <w:rPr>
                <w:rFonts w:ascii="宋体" w:cs="宋体"/>
                <w:highlight w:val="none"/>
              </w:rPr>
            </w:pPr>
          </w:p>
        </w:tc>
        <w:tc>
          <w:tcPr>
            <w:tcW w:w="500" w:type="pct"/>
            <w:tcBorders>
              <w:top w:val="single" w:color="auto" w:sz="4" w:space="0"/>
              <w:left w:val="nil"/>
              <w:bottom w:val="single" w:color="auto" w:sz="4" w:space="0"/>
              <w:right w:val="single" w:color="auto" w:sz="4" w:space="0"/>
            </w:tcBorders>
            <w:vAlign w:val="center"/>
          </w:tcPr>
          <w:p>
            <w:pPr>
              <w:jc w:val="center"/>
              <w:rPr>
                <w:rFonts w:ascii="宋体" w:cs="宋体"/>
                <w:highlight w:val="none"/>
              </w:rPr>
            </w:pPr>
          </w:p>
        </w:tc>
        <w:tc>
          <w:tcPr>
            <w:tcW w:w="500" w:type="pct"/>
            <w:tcBorders>
              <w:top w:val="single" w:color="auto" w:sz="4" w:space="0"/>
              <w:left w:val="nil"/>
              <w:bottom w:val="single" w:color="auto" w:sz="4" w:space="0"/>
              <w:right w:val="single" w:color="auto" w:sz="4" w:space="0"/>
            </w:tcBorders>
            <w:vAlign w:val="center"/>
          </w:tcPr>
          <w:p>
            <w:pPr>
              <w:jc w:val="center"/>
              <w:rPr>
                <w:rFonts w:ascii="宋体" w:cs="宋体"/>
                <w:highlight w:val="none"/>
              </w:rPr>
            </w:pPr>
          </w:p>
        </w:tc>
        <w:tc>
          <w:tcPr>
            <w:tcW w:w="500" w:type="pct"/>
            <w:tcBorders>
              <w:top w:val="single" w:color="auto" w:sz="4" w:space="0"/>
              <w:left w:val="nil"/>
              <w:bottom w:val="single" w:color="auto" w:sz="4" w:space="0"/>
              <w:right w:val="single" w:color="auto" w:sz="4" w:space="0"/>
            </w:tcBorders>
            <w:vAlign w:val="center"/>
          </w:tcPr>
          <w:p>
            <w:pPr>
              <w:widowControl/>
              <w:jc w:val="center"/>
              <w:rPr>
                <w:rFonts w:ascii="宋体" w:cs="宋体"/>
                <w:highlight w:val="none"/>
              </w:rPr>
            </w:pPr>
          </w:p>
        </w:tc>
      </w:tr>
      <w:tr>
        <w:tblPrEx>
          <w:tblCellMar>
            <w:top w:w="0" w:type="dxa"/>
            <w:left w:w="108" w:type="dxa"/>
            <w:bottom w:w="0" w:type="dxa"/>
            <w:right w:w="108" w:type="dxa"/>
          </w:tblCellMar>
        </w:tblPrEx>
        <w:trPr>
          <w:trHeight w:val="567" w:hRule="atLeast"/>
        </w:trPr>
        <w:tc>
          <w:tcPr>
            <w:tcW w:w="500"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highlight w:val="none"/>
              </w:rPr>
            </w:pPr>
          </w:p>
        </w:tc>
        <w:tc>
          <w:tcPr>
            <w:tcW w:w="750" w:type="pct"/>
            <w:tcBorders>
              <w:top w:val="single" w:color="auto" w:sz="4" w:space="0"/>
              <w:left w:val="nil"/>
              <w:bottom w:val="single" w:color="auto" w:sz="4" w:space="0"/>
              <w:right w:val="single" w:color="auto" w:sz="4" w:space="0"/>
            </w:tcBorders>
            <w:vAlign w:val="center"/>
          </w:tcPr>
          <w:p>
            <w:pPr>
              <w:jc w:val="center"/>
              <w:rPr>
                <w:rFonts w:ascii="宋体" w:cs="宋体"/>
                <w:highlight w:val="none"/>
              </w:rPr>
            </w:pPr>
          </w:p>
        </w:tc>
        <w:tc>
          <w:tcPr>
            <w:tcW w:w="2000" w:type="pct"/>
            <w:tcBorders>
              <w:top w:val="single" w:color="auto" w:sz="4" w:space="0"/>
              <w:left w:val="nil"/>
              <w:bottom w:val="single" w:color="auto" w:sz="4" w:space="0"/>
              <w:right w:val="single" w:color="auto" w:sz="4" w:space="0"/>
            </w:tcBorders>
            <w:vAlign w:val="center"/>
          </w:tcPr>
          <w:p>
            <w:pPr>
              <w:jc w:val="center"/>
              <w:rPr>
                <w:rFonts w:ascii="宋体" w:cs="宋体"/>
                <w:highlight w:val="none"/>
              </w:rPr>
            </w:pPr>
          </w:p>
        </w:tc>
        <w:tc>
          <w:tcPr>
            <w:tcW w:w="500" w:type="pct"/>
            <w:tcBorders>
              <w:top w:val="single" w:color="auto" w:sz="4" w:space="0"/>
              <w:left w:val="nil"/>
              <w:bottom w:val="single" w:color="auto" w:sz="4" w:space="0"/>
              <w:right w:val="single" w:color="auto" w:sz="4" w:space="0"/>
            </w:tcBorders>
            <w:vAlign w:val="center"/>
          </w:tcPr>
          <w:p>
            <w:pPr>
              <w:jc w:val="center"/>
              <w:rPr>
                <w:rFonts w:ascii="宋体" w:cs="宋体"/>
                <w:highlight w:val="none"/>
              </w:rPr>
            </w:pPr>
          </w:p>
        </w:tc>
        <w:tc>
          <w:tcPr>
            <w:tcW w:w="500" w:type="pct"/>
            <w:tcBorders>
              <w:top w:val="single" w:color="auto" w:sz="4" w:space="0"/>
              <w:left w:val="nil"/>
              <w:bottom w:val="single" w:color="auto" w:sz="4" w:space="0"/>
              <w:right w:val="single" w:color="auto" w:sz="4" w:space="0"/>
            </w:tcBorders>
            <w:vAlign w:val="center"/>
          </w:tcPr>
          <w:p>
            <w:pPr>
              <w:jc w:val="center"/>
              <w:rPr>
                <w:rFonts w:ascii="宋体" w:cs="宋体"/>
                <w:highlight w:val="none"/>
              </w:rPr>
            </w:pPr>
          </w:p>
        </w:tc>
        <w:tc>
          <w:tcPr>
            <w:tcW w:w="500" w:type="pct"/>
            <w:tcBorders>
              <w:top w:val="single" w:color="auto" w:sz="4" w:space="0"/>
              <w:left w:val="nil"/>
              <w:bottom w:val="single" w:color="auto" w:sz="4" w:space="0"/>
              <w:right w:val="single" w:color="auto" w:sz="4" w:space="0"/>
            </w:tcBorders>
            <w:vAlign w:val="center"/>
          </w:tcPr>
          <w:p>
            <w:pPr>
              <w:widowControl/>
              <w:jc w:val="center"/>
              <w:rPr>
                <w:rFonts w:ascii="宋体" w:cs="宋体"/>
                <w:highlight w:val="none"/>
              </w:rPr>
            </w:pPr>
          </w:p>
        </w:tc>
      </w:tr>
      <w:tr>
        <w:tblPrEx>
          <w:tblCellMar>
            <w:top w:w="0" w:type="dxa"/>
            <w:left w:w="108" w:type="dxa"/>
            <w:bottom w:w="0" w:type="dxa"/>
            <w:right w:w="108" w:type="dxa"/>
          </w:tblCellMar>
        </w:tblPrEx>
        <w:trPr>
          <w:trHeight w:val="567" w:hRule="atLeast"/>
        </w:trPr>
        <w:tc>
          <w:tcPr>
            <w:tcW w:w="500"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highlight w:val="none"/>
              </w:rPr>
            </w:pPr>
          </w:p>
        </w:tc>
        <w:tc>
          <w:tcPr>
            <w:tcW w:w="750" w:type="pct"/>
            <w:tcBorders>
              <w:top w:val="single" w:color="auto" w:sz="4" w:space="0"/>
              <w:left w:val="nil"/>
              <w:bottom w:val="single" w:color="auto" w:sz="4" w:space="0"/>
              <w:right w:val="single" w:color="auto" w:sz="4" w:space="0"/>
            </w:tcBorders>
            <w:vAlign w:val="center"/>
          </w:tcPr>
          <w:p>
            <w:pPr>
              <w:jc w:val="center"/>
              <w:rPr>
                <w:rFonts w:ascii="宋体" w:cs="宋体"/>
                <w:highlight w:val="none"/>
              </w:rPr>
            </w:pPr>
          </w:p>
        </w:tc>
        <w:tc>
          <w:tcPr>
            <w:tcW w:w="2000" w:type="pct"/>
            <w:tcBorders>
              <w:top w:val="single" w:color="auto" w:sz="4" w:space="0"/>
              <w:left w:val="nil"/>
              <w:bottom w:val="single" w:color="auto" w:sz="4" w:space="0"/>
              <w:right w:val="single" w:color="auto" w:sz="4" w:space="0"/>
            </w:tcBorders>
            <w:vAlign w:val="center"/>
          </w:tcPr>
          <w:p>
            <w:pPr>
              <w:jc w:val="center"/>
              <w:rPr>
                <w:rFonts w:ascii="宋体" w:cs="宋体"/>
                <w:highlight w:val="none"/>
              </w:rPr>
            </w:pPr>
          </w:p>
        </w:tc>
        <w:tc>
          <w:tcPr>
            <w:tcW w:w="500" w:type="pct"/>
            <w:tcBorders>
              <w:top w:val="single" w:color="auto" w:sz="4" w:space="0"/>
              <w:left w:val="nil"/>
              <w:bottom w:val="single" w:color="auto" w:sz="4" w:space="0"/>
              <w:right w:val="single" w:color="auto" w:sz="4" w:space="0"/>
            </w:tcBorders>
            <w:vAlign w:val="center"/>
          </w:tcPr>
          <w:p>
            <w:pPr>
              <w:jc w:val="center"/>
              <w:rPr>
                <w:rFonts w:ascii="宋体" w:cs="宋体"/>
                <w:highlight w:val="none"/>
              </w:rPr>
            </w:pPr>
          </w:p>
        </w:tc>
        <w:tc>
          <w:tcPr>
            <w:tcW w:w="500" w:type="pct"/>
            <w:tcBorders>
              <w:top w:val="single" w:color="auto" w:sz="4" w:space="0"/>
              <w:left w:val="nil"/>
              <w:bottom w:val="single" w:color="auto" w:sz="4" w:space="0"/>
              <w:right w:val="single" w:color="auto" w:sz="4" w:space="0"/>
            </w:tcBorders>
            <w:vAlign w:val="center"/>
          </w:tcPr>
          <w:p>
            <w:pPr>
              <w:jc w:val="center"/>
              <w:rPr>
                <w:rFonts w:ascii="宋体" w:cs="宋体"/>
                <w:highlight w:val="none"/>
              </w:rPr>
            </w:pPr>
          </w:p>
        </w:tc>
        <w:tc>
          <w:tcPr>
            <w:tcW w:w="500" w:type="pct"/>
            <w:tcBorders>
              <w:top w:val="single" w:color="auto" w:sz="4" w:space="0"/>
              <w:left w:val="nil"/>
              <w:bottom w:val="single" w:color="auto" w:sz="4" w:space="0"/>
              <w:right w:val="single" w:color="auto" w:sz="4" w:space="0"/>
            </w:tcBorders>
            <w:vAlign w:val="center"/>
          </w:tcPr>
          <w:p>
            <w:pPr>
              <w:widowControl/>
              <w:jc w:val="center"/>
              <w:rPr>
                <w:rFonts w:ascii="宋体" w:cs="宋体"/>
                <w:highlight w:val="none"/>
              </w:rPr>
            </w:pPr>
          </w:p>
        </w:tc>
      </w:tr>
      <w:tr>
        <w:tblPrEx>
          <w:tblCellMar>
            <w:top w:w="0" w:type="dxa"/>
            <w:left w:w="108" w:type="dxa"/>
            <w:bottom w:w="0" w:type="dxa"/>
            <w:right w:w="108" w:type="dxa"/>
          </w:tblCellMar>
        </w:tblPrEx>
        <w:trPr>
          <w:trHeight w:val="567" w:hRule="atLeast"/>
        </w:trPr>
        <w:tc>
          <w:tcPr>
            <w:tcW w:w="500"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highlight w:val="none"/>
              </w:rPr>
            </w:pPr>
          </w:p>
        </w:tc>
        <w:tc>
          <w:tcPr>
            <w:tcW w:w="750" w:type="pct"/>
            <w:tcBorders>
              <w:top w:val="single" w:color="auto" w:sz="4" w:space="0"/>
              <w:left w:val="nil"/>
              <w:bottom w:val="single" w:color="auto" w:sz="4" w:space="0"/>
              <w:right w:val="single" w:color="auto" w:sz="4" w:space="0"/>
            </w:tcBorders>
            <w:vAlign w:val="center"/>
          </w:tcPr>
          <w:p>
            <w:pPr>
              <w:jc w:val="center"/>
              <w:rPr>
                <w:rFonts w:ascii="宋体" w:cs="宋体"/>
                <w:highlight w:val="none"/>
              </w:rPr>
            </w:pPr>
          </w:p>
        </w:tc>
        <w:tc>
          <w:tcPr>
            <w:tcW w:w="2000" w:type="pct"/>
            <w:tcBorders>
              <w:top w:val="single" w:color="auto" w:sz="4" w:space="0"/>
              <w:left w:val="nil"/>
              <w:bottom w:val="single" w:color="auto" w:sz="4" w:space="0"/>
              <w:right w:val="single" w:color="auto" w:sz="4" w:space="0"/>
            </w:tcBorders>
            <w:vAlign w:val="center"/>
          </w:tcPr>
          <w:p>
            <w:pPr>
              <w:jc w:val="center"/>
              <w:rPr>
                <w:rFonts w:ascii="宋体" w:cs="宋体"/>
                <w:highlight w:val="none"/>
              </w:rPr>
            </w:pPr>
          </w:p>
        </w:tc>
        <w:tc>
          <w:tcPr>
            <w:tcW w:w="500" w:type="pct"/>
            <w:tcBorders>
              <w:top w:val="single" w:color="auto" w:sz="4" w:space="0"/>
              <w:left w:val="nil"/>
              <w:bottom w:val="single" w:color="auto" w:sz="4" w:space="0"/>
              <w:right w:val="single" w:color="auto" w:sz="4" w:space="0"/>
            </w:tcBorders>
            <w:vAlign w:val="center"/>
          </w:tcPr>
          <w:p>
            <w:pPr>
              <w:jc w:val="center"/>
              <w:rPr>
                <w:rFonts w:ascii="宋体" w:cs="宋体"/>
                <w:highlight w:val="none"/>
              </w:rPr>
            </w:pPr>
          </w:p>
        </w:tc>
        <w:tc>
          <w:tcPr>
            <w:tcW w:w="500" w:type="pct"/>
            <w:tcBorders>
              <w:top w:val="single" w:color="auto" w:sz="4" w:space="0"/>
              <w:left w:val="nil"/>
              <w:bottom w:val="single" w:color="auto" w:sz="4" w:space="0"/>
              <w:right w:val="single" w:color="auto" w:sz="4" w:space="0"/>
            </w:tcBorders>
            <w:vAlign w:val="center"/>
          </w:tcPr>
          <w:p>
            <w:pPr>
              <w:jc w:val="center"/>
              <w:rPr>
                <w:rFonts w:ascii="宋体" w:cs="宋体"/>
                <w:highlight w:val="none"/>
              </w:rPr>
            </w:pPr>
          </w:p>
        </w:tc>
        <w:tc>
          <w:tcPr>
            <w:tcW w:w="500" w:type="pct"/>
            <w:tcBorders>
              <w:top w:val="single" w:color="auto" w:sz="4" w:space="0"/>
              <w:left w:val="nil"/>
              <w:bottom w:val="single" w:color="auto" w:sz="4" w:space="0"/>
              <w:right w:val="single" w:color="auto" w:sz="4" w:space="0"/>
            </w:tcBorders>
            <w:vAlign w:val="center"/>
          </w:tcPr>
          <w:p>
            <w:pPr>
              <w:jc w:val="center"/>
              <w:rPr>
                <w:rFonts w:ascii="宋体" w:cs="宋体"/>
                <w:highlight w:val="none"/>
              </w:rPr>
            </w:pPr>
          </w:p>
        </w:tc>
      </w:tr>
      <w:tr>
        <w:tblPrEx>
          <w:tblCellMar>
            <w:top w:w="0" w:type="dxa"/>
            <w:left w:w="108" w:type="dxa"/>
            <w:bottom w:w="0" w:type="dxa"/>
            <w:right w:w="108" w:type="dxa"/>
          </w:tblCellMar>
        </w:tblPrEx>
        <w:trPr>
          <w:trHeight w:val="567" w:hRule="atLeast"/>
        </w:trPr>
        <w:tc>
          <w:tcPr>
            <w:tcW w:w="500"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highlight w:val="none"/>
              </w:rPr>
            </w:pPr>
          </w:p>
        </w:tc>
        <w:tc>
          <w:tcPr>
            <w:tcW w:w="750" w:type="pct"/>
            <w:tcBorders>
              <w:top w:val="single" w:color="auto" w:sz="4" w:space="0"/>
              <w:left w:val="nil"/>
              <w:bottom w:val="single" w:color="auto" w:sz="4" w:space="0"/>
              <w:right w:val="single" w:color="auto" w:sz="4" w:space="0"/>
            </w:tcBorders>
            <w:vAlign w:val="center"/>
          </w:tcPr>
          <w:p>
            <w:pPr>
              <w:jc w:val="center"/>
              <w:rPr>
                <w:rFonts w:ascii="宋体" w:cs="宋体"/>
                <w:highlight w:val="none"/>
              </w:rPr>
            </w:pPr>
          </w:p>
        </w:tc>
        <w:tc>
          <w:tcPr>
            <w:tcW w:w="2000" w:type="pct"/>
            <w:tcBorders>
              <w:top w:val="single" w:color="auto" w:sz="4" w:space="0"/>
              <w:left w:val="nil"/>
              <w:bottom w:val="single" w:color="auto" w:sz="4" w:space="0"/>
              <w:right w:val="single" w:color="auto" w:sz="4" w:space="0"/>
            </w:tcBorders>
            <w:vAlign w:val="center"/>
          </w:tcPr>
          <w:p>
            <w:pPr>
              <w:jc w:val="center"/>
              <w:rPr>
                <w:rFonts w:ascii="宋体" w:cs="宋体"/>
                <w:highlight w:val="none"/>
              </w:rPr>
            </w:pPr>
          </w:p>
        </w:tc>
        <w:tc>
          <w:tcPr>
            <w:tcW w:w="500" w:type="pct"/>
            <w:tcBorders>
              <w:top w:val="single" w:color="auto" w:sz="4" w:space="0"/>
              <w:left w:val="nil"/>
              <w:bottom w:val="single" w:color="auto" w:sz="4" w:space="0"/>
              <w:right w:val="single" w:color="auto" w:sz="4" w:space="0"/>
            </w:tcBorders>
            <w:vAlign w:val="center"/>
          </w:tcPr>
          <w:p>
            <w:pPr>
              <w:jc w:val="center"/>
              <w:rPr>
                <w:rFonts w:ascii="宋体" w:cs="宋体"/>
                <w:highlight w:val="none"/>
              </w:rPr>
            </w:pPr>
          </w:p>
        </w:tc>
        <w:tc>
          <w:tcPr>
            <w:tcW w:w="500" w:type="pct"/>
            <w:tcBorders>
              <w:top w:val="single" w:color="auto" w:sz="4" w:space="0"/>
              <w:left w:val="nil"/>
              <w:bottom w:val="single" w:color="auto" w:sz="4" w:space="0"/>
              <w:right w:val="single" w:color="auto" w:sz="4" w:space="0"/>
            </w:tcBorders>
            <w:vAlign w:val="center"/>
          </w:tcPr>
          <w:p>
            <w:pPr>
              <w:jc w:val="center"/>
              <w:rPr>
                <w:rFonts w:ascii="宋体" w:cs="宋体"/>
                <w:highlight w:val="none"/>
              </w:rPr>
            </w:pPr>
          </w:p>
        </w:tc>
        <w:tc>
          <w:tcPr>
            <w:tcW w:w="500" w:type="pct"/>
            <w:tcBorders>
              <w:top w:val="single" w:color="auto" w:sz="4" w:space="0"/>
              <w:left w:val="nil"/>
              <w:bottom w:val="single" w:color="auto" w:sz="4" w:space="0"/>
              <w:right w:val="single" w:color="auto" w:sz="4" w:space="0"/>
            </w:tcBorders>
            <w:vAlign w:val="center"/>
          </w:tcPr>
          <w:p>
            <w:pPr>
              <w:widowControl/>
              <w:jc w:val="center"/>
              <w:rPr>
                <w:rFonts w:ascii="宋体" w:cs="宋体"/>
                <w:highlight w:val="none"/>
              </w:rPr>
            </w:pPr>
          </w:p>
        </w:tc>
      </w:tr>
      <w:tr>
        <w:tblPrEx>
          <w:tblCellMar>
            <w:top w:w="0" w:type="dxa"/>
            <w:left w:w="108" w:type="dxa"/>
            <w:bottom w:w="0" w:type="dxa"/>
            <w:right w:w="108" w:type="dxa"/>
          </w:tblCellMar>
        </w:tblPrEx>
        <w:trPr>
          <w:trHeight w:val="567" w:hRule="atLeast"/>
        </w:trPr>
        <w:tc>
          <w:tcPr>
            <w:tcW w:w="500" w:type="pct"/>
            <w:gridSpan w:val="5"/>
            <w:tcBorders>
              <w:top w:val="single" w:color="auto" w:sz="4" w:space="0"/>
              <w:left w:val="single" w:color="auto" w:sz="4" w:space="0"/>
              <w:bottom w:val="single" w:color="auto" w:sz="4" w:space="0"/>
              <w:right w:val="single" w:color="auto" w:sz="4" w:space="0"/>
            </w:tcBorders>
            <w:vAlign w:val="center"/>
          </w:tcPr>
          <w:p>
            <w:pPr>
              <w:jc w:val="left"/>
              <w:rPr>
                <w:rFonts w:ascii="宋体" w:cs="宋体"/>
                <w:highlight w:val="none"/>
              </w:rPr>
            </w:pPr>
            <w:r>
              <w:rPr>
                <w:rFonts w:hint="eastAsia" w:ascii="宋体" w:hAnsi="宋体" w:cs="宋体"/>
                <w:highlight w:val="none"/>
              </w:rPr>
              <w:t>本项目总体报价：</w:t>
            </w:r>
          </w:p>
        </w:tc>
        <w:tc>
          <w:tcPr>
            <w:tcW w:w="500" w:type="pct"/>
            <w:tcBorders>
              <w:top w:val="single" w:color="auto" w:sz="4" w:space="0"/>
              <w:left w:val="nil"/>
              <w:bottom w:val="single" w:color="auto" w:sz="4" w:space="0"/>
              <w:right w:val="single" w:color="auto" w:sz="4" w:space="0"/>
            </w:tcBorders>
            <w:vAlign w:val="center"/>
          </w:tcPr>
          <w:p>
            <w:pPr>
              <w:jc w:val="center"/>
              <w:rPr>
                <w:rFonts w:ascii="宋体" w:cs="宋体"/>
                <w:highlight w:val="none"/>
              </w:rPr>
            </w:pPr>
          </w:p>
        </w:tc>
      </w:tr>
    </w:tbl>
    <w:p>
      <w:pPr>
        <w:adjustRightInd w:val="0"/>
        <w:snapToGrid w:val="0"/>
        <w:spacing w:line="360" w:lineRule="auto"/>
        <w:rPr>
          <w:rFonts w:ascii="宋体" w:hAnsi="宋体"/>
          <w:sz w:val="21"/>
          <w:highlight w:val="none"/>
        </w:rPr>
      </w:pPr>
    </w:p>
    <w:p>
      <w:pPr>
        <w:adjustRightInd w:val="0"/>
        <w:snapToGrid w:val="0"/>
        <w:spacing w:line="360" w:lineRule="auto"/>
        <w:rPr>
          <w:rFonts w:ascii="宋体" w:hAnsi="宋体"/>
          <w:sz w:val="21"/>
          <w:highlight w:val="none"/>
        </w:rPr>
      </w:pPr>
      <w:r>
        <w:rPr>
          <w:rFonts w:hint="eastAsia" w:ascii="宋体" w:hAnsi="宋体"/>
          <w:sz w:val="21"/>
          <w:highlight w:val="none"/>
        </w:rPr>
        <w:t>注：1.不得变更本表式。</w:t>
      </w:r>
    </w:p>
    <w:p>
      <w:pPr>
        <w:adjustRightInd w:val="0"/>
        <w:snapToGrid w:val="0"/>
        <w:spacing w:line="360" w:lineRule="auto"/>
        <w:ind w:firstLine="420" w:firstLineChars="200"/>
        <w:rPr>
          <w:rFonts w:ascii="宋体" w:hAnsi="宋体"/>
          <w:sz w:val="21"/>
          <w:highlight w:val="none"/>
        </w:rPr>
      </w:pPr>
      <w:r>
        <w:rPr>
          <w:rFonts w:hint="eastAsia" w:ascii="宋体" w:hAnsi="宋体"/>
          <w:sz w:val="21"/>
          <w:highlight w:val="none"/>
        </w:rPr>
        <w:t>2.如果单价和总价不符时，以单价为准。</w:t>
      </w:r>
    </w:p>
    <w:p>
      <w:pPr>
        <w:adjustRightInd w:val="0"/>
        <w:snapToGrid w:val="0"/>
        <w:spacing w:line="360" w:lineRule="auto"/>
        <w:rPr>
          <w:rFonts w:ascii="宋体" w:hAnsi="宋体"/>
          <w:sz w:val="21"/>
          <w:highlight w:val="none"/>
        </w:rPr>
      </w:pPr>
    </w:p>
    <w:p>
      <w:pPr>
        <w:adjustRightInd w:val="0"/>
        <w:snapToGrid w:val="0"/>
        <w:spacing w:line="360" w:lineRule="auto"/>
        <w:rPr>
          <w:rFonts w:ascii="宋体" w:hAnsi="宋体"/>
          <w:sz w:val="21"/>
          <w:highlight w:val="none"/>
          <w:u w:val="single"/>
        </w:rPr>
      </w:pPr>
      <w:r>
        <w:rPr>
          <w:rFonts w:hint="eastAsia" w:ascii="宋体" w:hAnsi="宋体"/>
          <w:sz w:val="21"/>
          <w:highlight w:val="none"/>
        </w:rPr>
        <w:t>响应供应商授权代表签字：</w:t>
      </w:r>
      <w:r>
        <w:rPr>
          <w:rFonts w:ascii="宋体" w:hAnsi="宋体"/>
          <w:sz w:val="21"/>
          <w:highlight w:val="none"/>
          <w:u w:val="single"/>
        </w:rPr>
        <w:t xml:space="preserve">                        </w:t>
      </w:r>
    </w:p>
    <w:p>
      <w:pPr>
        <w:spacing w:line="360" w:lineRule="auto"/>
        <w:rPr>
          <w:rFonts w:ascii="宋体" w:hAnsi="宋体"/>
          <w:sz w:val="21"/>
          <w:highlight w:val="none"/>
        </w:rPr>
      </w:pPr>
      <w:r>
        <w:rPr>
          <w:rFonts w:hint="eastAsia" w:ascii="宋体" w:hAnsi="宋体"/>
          <w:sz w:val="21"/>
          <w:highlight w:val="none"/>
        </w:rPr>
        <w:t>（加盖响应供应商公章）</w:t>
      </w:r>
    </w:p>
    <w:p>
      <w:pPr>
        <w:spacing w:line="360" w:lineRule="auto"/>
        <w:rPr>
          <w:rFonts w:ascii="宋体" w:hAnsi="宋体"/>
          <w:sz w:val="21"/>
          <w:highlight w:val="none"/>
        </w:rPr>
      </w:pPr>
      <w:r>
        <w:rPr>
          <w:rFonts w:hint="eastAsia" w:ascii="宋体" w:hAnsi="宋体"/>
          <w:sz w:val="21"/>
          <w:highlight w:val="none"/>
        </w:rPr>
        <w:t>日期：</w:t>
      </w:r>
      <w:r>
        <w:rPr>
          <w:rFonts w:ascii="宋体" w:hAnsi="宋体"/>
          <w:sz w:val="21"/>
          <w:highlight w:val="none"/>
          <w:u w:val="single"/>
        </w:rPr>
        <w:t xml:space="preserve">                        </w:t>
      </w:r>
    </w:p>
    <w:p>
      <w:pPr>
        <w:adjustRightInd w:val="0"/>
        <w:snapToGrid w:val="0"/>
        <w:spacing w:after="163" w:afterLines="50" w:line="360" w:lineRule="auto"/>
        <w:jc w:val="left"/>
        <w:rPr>
          <w:rFonts w:ascii="宋体" w:hAnsi="宋体"/>
          <w:sz w:val="21"/>
          <w:highlight w:val="none"/>
        </w:rPr>
      </w:pPr>
    </w:p>
    <w:p>
      <w:pPr>
        <w:adjustRightInd w:val="0"/>
        <w:snapToGrid w:val="0"/>
        <w:spacing w:after="163" w:afterLines="50" w:line="360" w:lineRule="auto"/>
        <w:jc w:val="left"/>
        <w:rPr>
          <w:rFonts w:ascii="宋体" w:hAnsi="宋体"/>
          <w:sz w:val="21"/>
          <w:highlight w:val="none"/>
        </w:rPr>
      </w:pPr>
    </w:p>
    <w:p>
      <w:pPr>
        <w:widowControl/>
        <w:jc w:val="left"/>
        <w:rPr>
          <w:rFonts w:ascii="宋体" w:hAnsi="宋体"/>
          <w:b/>
          <w:szCs w:val="24"/>
          <w:highlight w:val="none"/>
        </w:rPr>
      </w:pPr>
      <w:r>
        <w:rPr>
          <w:rFonts w:ascii="宋体" w:hAnsi="宋体"/>
          <w:b/>
          <w:szCs w:val="24"/>
          <w:highlight w:val="none"/>
        </w:rPr>
        <w:br w:type="page"/>
      </w:r>
      <w:r>
        <w:rPr>
          <w:rFonts w:hint="eastAsia" w:ascii="宋体" w:hAnsi="宋体"/>
          <w:b/>
          <w:szCs w:val="24"/>
          <w:highlight w:val="none"/>
        </w:rPr>
        <w:t>附件4</w:t>
      </w:r>
    </w:p>
    <w:p>
      <w:pPr>
        <w:adjustRightInd w:val="0"/>
        <w:snapToGrid w:val="0"/>
        <w:spacing w:after="163" w:afterLines="50" w:line="360" w:lineRule="auto"/>
        <w:jc w:val="center"/>
        <w:rPr>
          <w:rFonts w:ascii="宋体" w:hAnsi="宋体"/>
          <w:b/>
          <w:sz w:val="32"/>
          <w:highlight w:val="none"/>
        </w:rPr>
      </w:pPr>
      <w:r>
        <w:rPr>
          <w:rFonts w:hint="eastAsia" w:ascii="宋体" w:hAnsi="宋体"/>
          <w:b/>
          <w:sz w:val="32"/>
          <w:highlight w:val="none"/>
        </w:rPr>
        <w:t>需求理解</w:t>
      </w:r>
    </w:p>
    <w:p>
      <w:pPr>
        <w:adjustRightInd w:val="0"/>
        <w:snapToGrid w:val="0"/>
        <w:spacing w:after="163" w:afterLines="50" w:line="360" w:lineRule="auto"/>
        <w:jc w:val="center"/>
        <w:rPr>
          <w:rFonts w:hint="eastAsia" w:ascii="宋体" w:hAnsi="宋体"/>
          <w:kern w:val="0"/>
          <w:sz w:val="21"/>
          <w:highlight w:val="none"/>
        </w:rPr>
      </w:pPr>
      <w:r>
        <w:rPr>
          <w:rFonts w:hint="eastAsia" w:ascii="宋体" w:hAnsi="宋体"/>
          <w:kern w:val="0"/>
          <w:sz w:val="21"/>
          <w:highlight w:val="none"/>
        </w:rPr>
        <w:t>（格式由响应供应商自行设计提供，包含要素详见评分标准和项目需求）</w:t>
      </w:r>
    </w:p>
    <w:p>
      <w:pPr>
        <w:widowControl/>
        <w:jc w:val="left"/>
        <w:rPr>
          <w:rFonts w:hint="eastAsia" w:ascii="宋体" w:hAnsi="宋体"/>
          <w:b/>
          <w:szCs w:val="24"/>
          <w:highlight w:val="none"/>
        </w:rPr>
      </w:pPr>
    </w:p>
    <w:p>
      <w:pPr>
        <w:widowControl/>
        <w:jc w:val="left"/>
        <w:rPr>
          <w:rFonts w:ascii="宋体" w:hAnsi="宋体"/>
          <w:b/>
          <w:szCs w:val="24"/>
          <w:highlight w:val="none"/>
        </w:rPr>
      </w:pPr>
      <w:r>
        <w:rPr>
          <w:rFonts w:hint="eastAsia" w:ascii="宋体" w:hAnsi="宋体"/>
          <w:b/>
          <w:szCs w:val="24"/>
          <w:highlight w:val="none"/>
        </w:rPr>
        <w:t>附件5</w:t>
      </w:r>
    </w:p>
    <w:p>
      <w:pPr>
        <w:adjustRightInd w:val="0"/>
        <w:snapToGrid w:val="0"/>
        <w:spacing w:after="163" w:afterLines="50" w:line="360" w:lineRule="auto"/>
        <w:jc w:val="center"/>
        <w:rPr>
          <w:rFonts w:hint="eastAsia" w:ascii="宋体" w:hAnsi="宋体"/>
          <w:b/>
          <w:sz w:val="32"/>
          <w:highlight w:val="none"/>
          <w:lang w:val="en-US" w:eastAsia="zh-CN"/>
        </w:rPr>
      </w:pPr>
      <w:r>
        <w:rPr>
          <w:rFonts w:hint="eastAsia" w:ascii="宋体" w:hAnsi="宋体"/>
          <w:b/>
          <w:sz w:val="32"/>
          <w:highlight w:val="none"/>
          <w:lang w:val="en-US" w:eastAsia="zh-CN"/>
        </w:rPr>
        <w:t>服务方案</w:t>
      </w:r>
    </w:p>
    <w:p>
      <w:pPr>
        <w:adjustRightInd w:val="0"/>
        <w:snapToGrid w:val="0"/>
        <w:spacing w:after="163" w:afterLines="50" w:line="360" w:lineRule="auto"/>
        <w:jc w:val="center"/>
        <w:rPr>
          <w:rFonts w:hint="eastAsia" w:ascii="宋体" w:hAnsi="宋体" w:cs="Times New Roman"/>
          <w:kern w:val="0"/>
          <w:sz w:val="21"/>
          <w:highlight w:val="none"/>
        </w:rPr>
      </w:pPr>
      <w:r>
        <w:rPr>
          <w:rFonts w:hint="eastAsia" w:ascii="宋体" w:hAnsi="宋体" w:cs="Times New Roman"/>
          <w:kern w:val="0"/>
          <w:sz w:val="21"/>
          <w:highlight w:val="none"/>
        </w:rPr>
        <w:t>（格式由响应供应商自行设计提供，包含要素详见评分标准和项目需求）</w:t>
      </w:r>
    </w:p>
    <w:p>
      <w:pPr>
        <w:widowControl/>
        <w:jc w:val="left"/>
        <w:rPr>
          <w:rFonts w:hint="eastAsia" w:ascii="宋体" w:hAnsi="宋体"/>
          <w:b/>
          <w:szCs w:val="24"/>
          <w:highlight w:val="none"/>
        </w:rPr>
      </w:pPr>
    </w:p>
    <w:p>
      <w:pPr>
        <w:adjustRightInd w:val="0"/>
        <w:snapToGrid w:val="0"/>
        <w:spacing w:line="360" w:lineRule="auto"/>
        <w:jc w:val="left"/>
        <w:rPr>
          <w:rFonts w:hint="eastAsia" w:ascii="宋体" w:hAnsi="宋体" w:eastAsia="宋体"/>
          <w:b/>
          <w:szCs w:val="24"/>
          <w:highlight w:val="none"/>
          <w:lang w:val="en-US" w:eastAsia="zh-CN"/>
        </w:rPr>
      </w:pPr>
      <w:r>
        <w:rPr>
          <w:rFonts w:hint="eastAsia" w:ascii="宋体" w:hAnsi="宋体"/>
          <w:b/>
          <w:sz w:val="32"/>
          <w:highlight w:val="none"/>
        </w:rPr>
        <w:br w:type="page"/>
      </w:r>
      <w:r>
        <w:rPr>
          <w:rFonts w:hint="eastAsia" w:ascii="宋体" w:hAnsi="宋体"/>
          <w:b/>
          <w:szCs w:val="24"/>
          <w:highlight w:val="none"/>
        </w:rPr>
        <w:t>附件</w:t>
      </w:r>
      <w:r>
        <w:rPr>
          <w:rFonts w:hint="eastAsia" w:ascii="宋体" w:hAnsi="宋体"/>
          <w:b/>
          <w:szCs w:val="24"/>
          <w:highlight w:val="none"/>
          <w:lang w:val="en-US" w:eastAsia="zh-CN"/>
        </w:rPr>
        <w:t>6</w:t>
      </w:r>
    </w:p>
    <w:p>
      <w:pPr>
        <w:adjustRightInd w:val="0"/>
        <w:snapToGrid w:val="0"/>
        <w:spacing w:after="163" w:afterLines="50" w:line="360" w:lineRule="auto"/>
        <w:jc w:val="center"/>
        <w:rPr>
          <w:rFonts w:ascii="宋体" w:hAnsi="宋体"/>
          <w:b/>
          <w:sz w:val="32"/>
          <w:highlight w:val="none"/>
        </w:rPr>
      </w:pPr>
      <w:r>
        <w:rPr>
          <w:rFonts w:hint="eastAsia" w:ascii="宋体" w:hAnsi="宋体"/>
          <w:b/>
          <w:sz w:val="32"/>
          <w:highlight w:val="none"/>
        </w:rPr>
        <w:t>服务团队情况</w:t>
      </w:r>
    </w:p>
    <w:p>
      <w:pPr>
        <w:adjustRightInd w:val="0"/>
        <w:snapToGrid w:val="0"/>
        <w:spacing w:line="440" w:lineRule="exact"/>
        <w:rPr>
          <w:rFonts w:ascii="宋体" w:hAnsi="宋体"/>
          <w:b/>
          <w:kern w:val="0"/>
          <w:highlight w:val="none"/>
        </w:rPr>
      </w:pPr>
      <w:r>
        <w:rPr>
          <w:rFonts w:hint="eastAsia" w:ascii="宋体" w:hAnsi="宋体"/>
          <w:b/>
          <w:kern w:val="0"/>
          <w:highlight w:val="none"/>
        </w:rPr>
        <w:t>（1）服务团队总体情况表</w:t>
      </w:r>
    </w:p>
    <w:tbl>
      <w:tblPr>
        <w:tblStyle w:val="4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1383"/>
        <w:gridCol w:w="2022"/>
        <w:gridCol w:w="2150"/>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480" w:type="pct"/>
            <w:vAlign w:val="center"/>
          </w:tcPr>
          <w:p>
            <w:pPr>
              <w:autoSpaceDE w:val="0"/>
              <w:autoSpaceDN w:val="0"/>
              <w:adjustRightInd w:val="0"/>
              <w:spacing w:before="97" w:beforeLines="30" w:line="360" w:lineRule="auto"/>
              <w:jc w:val="center"/>
              <w:rPr>
                <w:rFonts w:ascii="宋体" w:hAnsi="宋体"/>
                <w:spacing w:val="20"/>
                <w:kern w:val="0"/>
                <w:sz w:val="21"/>
                <w:highlight w:val="none"/>
              </w:rPr>
            </w:pPr>
            <w:r>
              <w:rPr>
                <w:rFonts w:hint="eastAsia" w:ascii="宋体" w:hAnsi="宋体"/>
                <w:spacing w:val="20"/>
                <w:kern w:val="0"/>
                <w:sz w:val="21"/>
                <w:highlight w:val="none"/>
              </w:rPr>
              <w:t>序号</w:t>
            </w:r>
          </w:p>
        </w:tc>
        <w:tc>
          <w:tcPr>
            <w:tcW w:w="811" w:type="pct"/>
            <w:vAlign w:val="center"/>
          </w:tcPr>
          <w:p>
            <w:pPr>
              <w:autoSpaceDE w:val="0"/>
              <w:autoSpaceDN w:val="0"/>
              <w:adjustRightInd w:val="0"/>
              <w:spacing w:before="97" w:beforeLines="30" w:line="360" w:lineRule="auto"/>
              <w:jc w:val="center"/>
              <w:rPr>
                <w:rFonts w:ascii="宋体" w:hAnsi="宋体"/>
                <w:spacing w:val="20"/>
                <w:kern w:val="0"/>
                <w:sz w:val="21"/>
                <w:highlight w:val="none"/>
              </w:rPr>
            </w:pPr>
            <w:r>
              <w:rPr>
                <w:rFonts w:hint="eastAsia" w:ascii="宋体" w:hAnsi="宋体"/>
                <w:spacing w:val="20"/>
                <w:kern w:val="0"/>
                <w:sz w:val="21"/>
                <w:highlight w:val="none"/>
              </w:rPr>
              <w:t>姓名</w:t>
            </w:r>
          </w:p>
        </w:tc>
        <w:tc>
          <w:tcPr>
            <w:tcW w:w="1186" w:type="pct"/>
            <w:vAlign w:val="center"/>
          </w:tcPr>
          <w:p>
            <w:pPr>
              <w:autoSpaceDE w:val="0"/>
              <w:autoSpaceDN w:val="0"/>
              <w:adjustRightInd w:val="0"/>
              <w:spacing w:before="97" w:beforeLines="30" w:line="360" w:lineRule="auto"/>
              <w:jc w:val="center"/>
              <w:rPr>
                <w:rFonts w:ascii="宋体" w:hAnsi="宋体"/>
                <w:spacing w:val="20"/>
                <w:kern w:val="0"/>
                <w:sz w:val="21"/>
                <w:highlight w:val="none"/>
              </w:rPr>
            </w:pPr>
            <w:r>
              <w:rPr>
                <w:rFonts w:hint="eastAsia" w:ascii="宋体" w:hAnsi="宋体"/>
                <w:spacing w:val="20"/>
                <w:kern w:val="0"/>
                <w:sz w:val="21"/>
                <w:highlight w:val="none"/>
              </w:rPr>
              <w:t>职务</w:t>
            </w:r>
          </w:p>
        </w:tc>
        <w:tc>
          <w:tcPr>
            <w:tcW w:w="1261" w:type="pct"/>
            <w:vAlign w:val="center"/>
          </w:tcPr>
          <w:p>
            <w:pPr>
              <w:autoSpaceDE w:val="0"/>
              <w:autoSpaceDN w:val="0"/>
              <w:adjustRightInd w:val="0"/>
              <w:spacing w:before="97" w:beforeLines="30" w:line="360" w:lineRule="auto"/>
              <w:jc w:val="center"/>
              <w:rPr>
                <w:rFonts w:ascii="宋体" w:hAnsi="宋体"/>
                <w:spacing w:val="20"/>
                <w:kern w:val="0"/>
                <w:sz w:val="21"/>
                <w:highlight w:val="none"/>
              </w:rPr>
            </w:pPr>
            <w:r>
              <w:rPr>
                <w:rFonts w:hint="eastAsia" w:ascii="宋体" w:hAnsi="宋体"/>
                <w:spacing w:val="20"/>
                <w:kern w:val="0"/>
                <w:sz w:val="21"/>
                <w:highlight w:val="none"/>
              </w:rPr>
              <w:t>职称及资格证书</w:t>
            </w:r>
          </w:p>
        </w:tc>
        <w:tc>
          <w:tcPr>
            <w:tcW w:w="1258" w:type="pct"/>
            <w:vAlign w:val="center"/>
          </w:tcPr>
          <w:p>
            <w:pPr>
              <w:autoSpaceDE w:val="0"/>
              <w:autoSpaceDN w:val="0"/>
              <w:adjustRightInd w:val="0"/>
              <w:spacing w:before="97" w:beforeLines="30" w:line="360" w:lineRule="auto"/>
              <w:jc w:val="center"/>
              <w:rPr>
                <w:rFonts w:ascii="宋体" w:hAnsi="宋体"/>
                <w:spacing w:val="20"/>
                <w:kern w:val="0"/>
                <w:sz w:val="21"/>
                <w:highlight w:val="none"/>
              </w:rPr>
            </w:pPr>
            <w:r>
              <w:rPr>
                <w:rFonts w:hint="eastAsia" w:ascii="宋体" w:hAnsi="宋体"/>
                <w:spacing w:val="20"/>
                <w:kern w:val="0"/>
                <w:sz w:val="21"/>
                <w:highlight w:val="none"/>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80" w:type="pct"/>
            <w:vAlign w:val="center"/>
          </w:tcPr>
          <w:p>
            <w:pPr>
              <w:autoSpaceDE w:val="0"/>
              <w:autoSpaceDN w:val="0"/>
              <w:adjustRightInd w:val="0"/>
              <w:spacing w:before="97" w:beforeLines="30" w:line="360" w:lineRule="auto"/>
              <w:jc w:val="center"/>
              <w:rPr>
                <w:rFonts w:ascii="宋体" w:hAnsi="宋体"/>
                <w:spacing w:val="20"/>
                <w:kern w:val="0"/>
                <w:sz w:val="21"/>
                <w:highlight w:val="none"/>
              </w:rPr>
            </w:pPr>
          </w:p>
        </w:tc>
        <w:tc>
          <w:tcPr>
            <w:tcW w:w="811" w:type="pct"/>
            <w:vAlign w:val="center"/>
          </w:tcPr>
          <w:p>
            <w:pPr>
              <w:autoSpaceDE w:val="0"/>
              <w:autoSpaceDN w:val="0"/>
              <w:adjustRightInd w:val="0"/>
              <w:spacing w:before="97" w:beforeLines="30" w:line="360" w:lineRule="auto"/>
              <w:jc w:val="center"/>
              <w:rPr>
                <w:rFonts w:ascii="宋体" w:hAnsi="宋体"/>
                <w:spacing w:val="20"/>
                <w:kern w:val="0"/>
                <w:sz w:val="21"/>
                <w:highlight w:val="none"/>
              </w:rPr>
            </w:pPr>
          </w:p>
        </w:tc>
        <w:tc>
          <w:tcPr>
            <w:tcW w:w="1186" w:type="pct"/>
            <w:vAlign w:val="center"/>
          </w:tcPr>
          <w:p>
            <w:pPr>
              <w:autoSpaceDE w:val="0"/>
              <w:autoSpaceDN w:val="0"/>
              <w:adjustRightInd w:val="0"/>
              <w:spacing w:before="97" w:beforeLines="30" w:line="360" w:lineRule="auto"/>
              <w:jc w:val="center"/>
              <w:rPr>
                <w:rFonts w:ascii="宋体" w:hAnsi="宋体"/>
                <w:spacing w:val="20"/>
                <w:kern w:val="0"/>
                <w:sz w:val="21"/>
                <w:highlight w:val="none"/>
              </w:rPr>
            </w:pPr>
          </w:p>
        </w:tc>
        <w:tc>
          <w:tcPr>
            <w:tcW w:w="1261" w:type="pct"/>
            <w:vAlign w:val="center"/>
          </w:tcPr>
          <w:p>
            <w:pPr>
              <w:autoSpaceDE w:val="0"/>
              <w:autoSpaceDN w:val="0"/>
              <w:adjustRightInd w:val="0"/>
              <w:spacing w:before="97" w:beforeLines="30" w:line="360" w:lineRule="auto"/>
              <w:jc w:val="center"/>
              <w:rPr>
                <w:rFonts w:ascii="宋体" w:hAnsi="宋体"/>
                <w:spacing w:val="20"/>
                <w:kern w:val="0"/>
                <w:sz w:val="21"/>
                <w:highlight w:val="none"/>
              </w:rPr>
            </w:pPr>
          </w:p>
        </w:tc>
        <w:tc>
          <w:tcPr>
            <w:tcW w:w="1258" w:type="pct"/>
            <w:vAlign w:val="center"/>
          </w:tcPr>
          <w:p>
            <w:pPr>
              <w:autoSpaceDE w:val="0"/>
              <w:autoSpaceDN w:val="0"/>
              <w:adjustRightInd w:val="0"/>
              <w:spacing w:before="97" w:beforeLines="30" w:line="360" w:lineRule="auto"/>
              <w:jc w:val="center"/>
              <w:rPr>
                <w:rFonts w:ascii="宋体" w:hAnsi="宋体"/>
                <w:spacing w:val="20"/>
                <w:ker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80" w:type="pct"/>
            <w:vAlign w:val="center"/>
          </w:tcPr>
          <w:p>
            <w:pPr>
              <w:autoSpaceDE w:val="0"/>
              <w:autoSpaceDN w:val="0"/>
              <w:adjustRightInd w:val="0"/>
              <w:spacing w:before="97" w:beforeLines="30" w:line="360" w:lineRule="auto"/>
              <w:jc w:val="center"/>
              <w:rPr>
                <w:rFonts w:ascii="宋体" w:hAnsi="宋体"/>
                <w:spacing w:val="20"/>
                <w:kern w:val="0"/>
                <w:sz w:val="21"/>
                <w:highlight w:val="none"/>
              </w:rPr>
            </w:pPr>
          </w:p>
        </w:tc>
        <w:tc>
          <w:tcPr>
            <w:tcW w:w="811" w:type="pct"/>
            <w:vAlign w:val="center"/>
          </w:tcPr>
          <w:p>
            <w:pPr>
              <w:autoSpaceDE w:val="0"/>
              <w:autoSpaceDN w:val="0"/>
              <w:adjustRightInd w:val="0"/>
              <w:spacing w:before="97" w:beforeLines="30" w:line="360" w:lineRule="auto"/>
              <w:jc w:val="center"/>
              <w:rPr>
                <w:rFonts w:ascii="宋体" w:hAnsi="宋体"/>
                <w:spacing w:val="20"/>
                <w:kern w:val="0"/>
                <w:sz w:val="21"/>
                <w:highlight w:val="none"/>
              </w:rPr>
            </w:pPr>
          </w:p>
        </w:tc>
        <w:tc>
          <w:tcPr>
            <w:tcW w:w="1186" w:type="pct"/>
            <w:vAlign w:val="center"/>
          </w:tcPr>
          <w:p>
            <w:pPr>
              <w:autoSpaceDE w:val="0"/>
              <w:autoSpaceDN w:val="0"/>
              <w:adjustRightInd w:val="0"/>
              <w:spacing w:before="97" w:beforeLines="30" w:line="360" w:lineRule="auto"/>
              <w:jc w:val="center"/>
              <w:rPr>
                <w:rFonts w:ascii="宋体" w:hAnsi="宋体"/>
                <w:spacing w:val="20"/>
                <w:kern w:val="0"/>
                <w:sz w:val="21"/>
                <w:highlight w:val="none"/>
              </w:rPr>
            </w:pPr>
          </w:p>
        </w:tc>
        <w:tc>
          <w:tcPr>
            <w:tcW w:w="1261" w:type="pct"/>
            <w:vAlign w:val="center"/>
          </w:tcPr>
          <w:p>
            <w:pPr>
              <w:autoSpaceDE w:val="0"/>
              <w:autoSpaceDN w:val="0"/>
              <w:adjustRightInd w:val="0"/>
              <w:spacing w:before="97" w:beforeLines="30" w:line="360" w:lineRule="auto"/>
              <w:jc w:val="center"/>
              <w:rPr>
                <w:rFonts w:ascii="宋体" w:hAnsi="宋体"/>
                <w:spacing w:val="20"/>
                <w:kern w:val="0"/>
                <w:sz w:val="21"/>
                <w:highlight w:val="none"/>
              </w:rPr>
            </w:pPr>
          </w:p>
        </w:tc>
        <w:tc>
          <w:tcPr>
            <w:tcW w:w="1258" w:type="pct"/>
            <w:vAlign w:val="center"/>
          </w:tcPr>
          <w:p>
            <w:pPr>
              <w:autoSpaceDE w:val="0"/>
              <w:autoSpaceDN w:val="0"/>
              <w:adjustRightInd w:val="0"/>
              <w:spacing w:before="97" w:beforeLines="30" w:line="360" w:lineRule="auto"/>
              <w:jc w:val="center"/>
              <w:rPr>
                <w:rFonts w:ascii="宋体" w:hAnsi="宋体"/>
                <w:spacing w:val="20"/>
                <w:ker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80" w:type="pct"/>
            <w:vAlign w:val="center"/>
          </w:tcPr>
          <w:p>
            <w:pPr>
              <w:autoSpaceDE w:val="0"/>
              <w:autoSpaceDN w:val="0"/>
              <w:adjustRightInd w:val="0"/>
              <w:spacing w:before="97" w:beforeLines="30" w:line="360" w:lineRule="auto"/>
              <w:jc w:val="center"/>
              <w:rPr>
                <w:rFonts w:ascii="宋体" w:hAnsi="宋体"/>
                <w:spacing w:val="20"/>
                <w:kern w:val="0"/>
                <w:sz w:val="21"/>
                <w:highlight w:val="none"/>
              </w:rPr>
            </w:pPr>
          </w:p>
        </w:tc>
        <w:tc>
          <w:tcPr>
            <w:tcW w:w="811" w:type="pct"/>
            <w:vAlign w:val="center"/>
          </w:tcPr>
          <w:p>
            <w:pPr>
              <w:autoSpaceDE w:val="0"/>
              <w:autoSpaceDN w:val="0"/>
              <w:adjustRightInd w:val="0"/>
              <w:spacing w:before="97" w:beforeLines="30" w:line="360" w:lineRule="auto"/>
              <w:jc w:val="center"/>
              <w:rPr>
                <w:rFonts w:ascii="宋体" w:hAnsi="宋体"/>
                <w:spacing w:val="20"/>
                <w:kern w:val="0"/>
                <w:sz w:val="21"/>
                <w:highlight w:val="none"/>
              </w:rPr>
            </w:pPr>
          </w:p>
        </w:tc>
        <w:tc>
          <w:tcPr>
            <w:tcW w:w="1186" w:type="pct"/>
            <w:vAlign w:val="center"/>
          </w:tcPr>
          <w:p>
            <w:pPr>
              <w:autoSpaceDE w:val="0"/>
              <w:autoSpaceDN w:val="0"/>
              <w:adjustRightInd w:val="0"/>
              <w:spacing w:before="97" w:beforeLines="30" w:line="360" w:lineRule="auto"/>
              <w:jc w:val="center"/>
              <w:rPr>
                <w:rFonts w:ascii="宋体" w:hAnsi="宋体"/>
                <w:spacing w:val="20"/>
                <w:kern w:val="0"/>
                <w:sz w:val="21"/>
                <w:highlight w:val="none"/>
              </w:rPr>
            </w:pPr>
          </w:p>
        </w:tc>
        <w:tc>
          <w:tcPr>
            <w:tcW w:w="1261" w:type="pct"/>
            <w:vAlign w:val="center"/>
          </w:tcPr>
          <w:p>
            <w:pPr>
              <w:autoSpaceDE w:val="0"/>
              <w:autoSpaceDN w:val="0"/>
              <w:adjustRightInd w:val="0"/>
              <w:spacing w:before="97" w:beforeLines="30" w:line="360" w:lineRule="auto"/>
              <w:jc w:val="center"/>
              <w:rPr>
                <w:rFonts w:ascii="宋体" w:hAnsi="宋体"/>
                <w:spacing w:val="20"/>
                <w:kern w:val="0"/>
                <w:sz w:val="21"/>
                <w:highlight w:val="none"/>
              </w:rPr>
            </w:pPr>
          </w:p>
        </w:tc>
        <w:tc>
          <w:tcPr>
            <w:tcW w:w="1258" w:type="pct"/>
            <w:vAlign w:val="center"/>
          </w:tcPr>
          <w:p>
            <w:pPr>
              <w:autoSpaceDE w:val="0"/>
              <w:autoSpaceDN w:val="0"/>
              <w:adjustRightInd w:val="0"/>
              <w:spacing w:before="97" w:beforeLines="30" w:line="360" w:lineRule="auto"/>
              <w:jc w:val="center"/>
              <w:rPr>
                <w:rFonts w:ascii="宋体" w:hAnsi="宋体"/>
                <w:spacing w:val="20"/>
                <w:ker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80" w:type="pct"/>
            <w:vAlign w:val="center"/>
          </w:tcPr>
          <w:p>
            <w:pPr>
              <w:autoSpaceDE w:val="0"/>
              <w:autoSpaceDN w:val="0"/>
              <w:adjustRightInd w:val="0"/>
              <w:spacing w:before="97" w:beforeLines="30" w:line="360" w:lineRule="auto"/>
              <w:jc w:val="center"/>
              <w:rPr>
                <w:rFonts w:ascii="宋体" w:hAnsi="宋体"/>
                <w:spacing w:val="20"/>
                <w:kern w:val="0"/>
                <w:sz w:val="21"/>
                <w:highlight w:val="none"/>
              </w:rPr>
            </w:pPr>
          </w:p>
        </w:tc>
        <w:tc>
          <w:tcPr>
            <w:tcW w:w="811" w:type="pct"/>
            <w:vAlign w:val="center"/>
          </w:tcPr>
          <w:p>
            <w:pPr>
              <w:autoSpaceDE w:val="0"/>
              <w:autoSpaceDN w:val="0"/>
              <w:adjustRightInd w:val="0"/>
              <w:spacing w:before="97" w:beforeLines="30" w:line="360" w:lineRule="auto"/>
              <w:jc w:val="center"/>
              <w:rPr>
                <w:rFonts w:ascii="宋体" w:hAnsi="宋体"/>
                <w:spacing w:val="20"/>
                <w:kern w:val="0"/>
                <w:sz w:val="21"/>
                <w:highlight w:val="none"/>
              </w:rPr>
            </w:pPr>
          </w:p>
        </w:tc>
        <w:tc>
          <w:tcPr>
            <w:tcW w:w="1186" w:type="pct"/>
            <w:vAlign w:val="center"/>
          </w:tcPr>
          <w:p>
            <w:pPr>
              <w:autoSpaceDE w:val="0"/>
              <w:autoSpaceDN w:val="0"/>
              <w:adjustRightInd w:val="0"/>
              <w:spacing w:before="97" w:beforeLines="30" w:line="360" w:lineRule="auto"/>
              <w:jc w:val="center"/>
              <w:rPr>
                <w:rFonts w:ascii="宋体" w:hAnsi="宋体"/>
                <w:spacing w:val="20"/>
                <w:kern w:val="0"/>
                <w:sz w:val="21"/>
                <w:highlight w:val="none"/>
              </w:rPr>
            </w:pPr>
          </w:p>
        </w:tc>
        <w:tc>
          <w:tcPr>
            <w:tcW w:w="1261" w:type="pct"/>
            <w:vAlign w:val="center"/>
          </w:tcPr>
          <w:p>
            <w:pPr>
              <w:autoSpaceDE w:val="0"/>
              <w:autoSpaceDN w:val="0"/>
              <w:adjustRightInd w:val="0"/>
              <w:spacing w:before="97" w:beforeLines="30" w:line="360" w:lineRule="auto"/>
              <w:jc w:val="center"/>
              <w:rPr>
                <w:rFonts w:ascii="宋体" w:hAnsi="宋体"/>
                <w:spacing w:val="20"/>
                <w:kern w:val="0"/>
                <w:sz w:val="21"/>
                <w:highlight w:val="none"/>
              </w:rPr>
            </w:pPr>
          </w:p>
        </w:tc>
        <w:tc>
          <w:tcPr>
            <w:tcW w:w="1258" w:type="pct"/>
            <w:vAlign w:val="center"/>
          </w:tcPr>
          <w:p>
            <w:pPr>
              <w:autoSpaceDE w:val="0"/>
              <w:autoSpaceDN w:val="0"/>
              <w:adjustRightInd w:val="0"/>
              <w:spacing w:before="97" w:beforeLines="30" w:line="360" w:lineRule="auto"/>
              <w:jc w:val="center"/>
              <w:rPr>
                <w:rFonts w:ascii="宋体" w:hAnsi="宋体"/>
                <w:spacing w:val="20"/>
                <w:ker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80" w:type="pct"/>
            <w:vAlign w:val="center"/>
          </w:tcPr>
          <w:p>
            <w:pPr>
              <w:autoSpaceDE w:val="0"/>
              <w:autoSpaceDN w:val="0"/>
              <w:adjustRightInd w:val="0"/>
              <w:spacing w:before="97" w:beforeLines="30" w:line="360" w:lineRule="auto"/>
              <w:jc w:val="center"/>
              <w:rPr>
                <w:rFonts w:ascii="宋体" w:hAnsi="宋体"/>
                <w:spacing w:val="20"/>
                <w:kern w:val="0"/>
                <w:sz w:val="21"/>
                <w:highlight w:val="none"/>
              </w:rPr>
            </w:pPr>
          </w:p>
        </w:tc>
        <w:tc>
          <w:tcPr>
            <w:tcW w:w="811" w:type="pct"/>
            <w:vAlign w:val="center"/>
          </w:tcPr>
          <w:p>
            <w:pPr>
              <w:autoSpaceDE w:val="0"/>
              <w:autoSpaceDN w:val="0"/>
              <w:adjustRightInd w:val="0"/>
              <w:spacing w:before="97" w:beforeLines="30" w:line="360" w:lineRule="auto"/>
              <w:jc w:val="center"/>
              <w:rPr>
                <w:rFonts w:ascii="宋体" w:hAnsi="宋体"/>
                <w:spacing w:val="20"/>
                <w:kern w:val="0"/>
                <w:sz w:val="21"/>
                <w:highlight w:val="none"/>
              </w:rPr>
            </w:pPr>
          </w:p>
        </w:tc>
        <w:tc>
          <w:tcPr>
            <w:tcW w:w="1186" w:type="pct"/>
            <w:vAlign w:val="center"/>
          </w:tcPr>
          <w:p>
            <w:pPr>
              <w:autoSpaceDE w:val="0"/>
              <w:autoSpaceDN w:val="0"/>
              <w:adjustRightInd w:val="0"/>
              <w:spacing w:before="97" w:beforeLines="30" w:line="360" w:lineRule="auto"/>
              <w:jc w:val="center"/>
              <w:rPr>
                <w:rFonts w:ascii="宋体" w:hAnsi="宋体"/>
                <w:spacing w:val="20"/>
                <w:kern w:val="0"/>
                <w:sz w:val="21"/>
                <w:highlight w:val="none"/>
              </w:rPr>
            </w:pPr>
          </w:p>
        </w:tc>
        <w:tc>
          <w:tcPr>
            <w:tcW w:w="1261" w:type="pct"/>
            <w:vAlign w:val="center"/>
          </w:tcPr>
          <w:p>
            <w:pPr>
              <w:autoSpaceDE w:val="0"/>
              <w:autoSpaceDN w:val="0"/>
              <w:adjustRightInd w:val="0"/>
              <w:spacing w:before="97" w:beforeLines="30" w:line="360" w:lineRule="auto"/>
              <w:jc w:val="center"/>
              <w:rPr>
                <w:rFonts w:ascii="宋体" w:hAnsi="宋体"/>
                <w:spacing w:val="20"/>
                <w:kern w:val="0"/>
                <w:sz w:val="21"/>
                <w:highlight w:val="none"/>
              </w:rPr>
            </w:pPr>
          </w:p>
        </w:tc>
        <w:tc>
          <w:tcPr>
            <w:tcW w:w="1258" w:type="pct"/>
            <w:vAlign w:val="center"/>
          </w:tcPr>
          <w:p>
            <w:pPr>
              <w:autoSpaceDE w:val="0"/>
              <w:autoSpaceDN w:val="0"/>
              <w:adjustRightInd w:val="0"/>
              <w:spacing w:before="97" w:beforeLines="30" w:line="360" w:lineRule="auto"/>
              <w:jc w:val="center"/>
              <w:rPr>
                <w:rFonts w:ascii="宋体" w:hAnsi="宋体"/>
                <w:spacing w:val="20"/>
                <w:ker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80" w:type="pct"/>
            <w:vAlign w:val="center"/>
          </w:tcPr>
          <w:p>
            <w:pPr>
              <w:autoSpaceDE w:val="0"/>
              <w:autoSpaceDN w:val="0"/>
              <w:adjustRightInd w:val="0"/>
              <w:spacing w:before="97" w:beforeLines="30" w:line="360" w:lineRule="auto"/>
              <w:jc w:val="center"/>
              <w:rPr>
                <w:rFonts w:ascii="宋体" w:hAnsi="宋体"/>
                <w:spacing w:val="20"/>
                <w:kern w:val="0"/>
                <w:sz w:val="21"/>
                <w:highlight w:val="none"/>
              </w:rPr>
            </w:pPr>
          </w:p>
        </w:tc>
        <w:tc>
          <w:tcPr>
            <w:tcW w:w="811" w:type="pct"/>
            <w:vAlign w:val="center"/>
          </w:tcPr>
          <w:p>
            <w:pPr>
              <w:autoSpaceDE w:val="0"/>
              <w:autoSpaceDN w:val="0"/>
              <w:adjustRightInd w:val="0"/>
              <w:spacing w:before="97" w:beforeLines="30" w:line="360" w:lineRule="auto"/>
              <w:jc w:val="center"/>
              <w:rPr>
                <w:rFonts w:ascii="宋体" w:hAnsi="宋体"/>
                <w:spacing w:val="20"/>
                <w:kern w:val="0"/>
                <w:sz w:val="21"/>
                <w:highlight w:val="none"/>
              </w:rPr>
            </w:pPr>
          </w:p>
        </w:tc>
        <w:tc>
          <w:tcPr>
            <w:tcW w:w="1186" w:type="pct"/>
            <w:vAlign w:val="center"/>
          </w:tcPr>
          <w:p>
            <w:pPr>
              <w:autoSpaceDE w:val="0"/>
              <w:autoSpaceDN w:val="0"/>
              <w:adjustRightInd w:val="0"/>
              <w:spacing w:before="97" w:beforeLines="30" w:line="360" w:lineRule="auto"/>
              <w:jc w:val="center"/>
              <w:rPr>
                <w:rFonts w:ascii="宋体" w:hAnsi="宋体"/>
                <w:spacing w:val="20"/>
                <w:kern w:val="0"/>
                <w:sz w:val="21"/>
                <w:highlight w:val="none"/>
              </w:rPr>
            </w:pPr>
          </w:p>
        </w:tc>
        <w:tc>
          <w:tcPr>
            <w:tcW w:w="1261" w:type="pct"/>
            <w:vAlign w:val="center"/>
          </w:tcPr>
          <w:p>
            <w:pPr>
              <w:autoSpaceDE w:val="0"/>
              <w:autoSpaceDN w:val="0"/>
              <w:adjustRightInd w:val="0"/>
              <w:spacing w:before="97" w:beforeLines="30" w:line="360" w:lineRule="auto"/>
              <w:jc w:val="center"/>
              <w:rPr>
                <w:rFonts w:ascii="宋体" w:hAnsi="宋体"/>
                <w:spacing w:val="20"/>
                <w:kern w:val="0"/>
                <w:sz w:val="21"/>
                <w:highlight w:val="none"/>
              </w:rPr>
            </w:pPr>
          </w:p>
        </w:tc>
        <w:tc>
          <w:tcPr>
            <w:tcW w:w="1258" w:type="pct"/>
            <w:vAlign w:val="center"/>
          </w:tcPr>
          <w:p>
            <w:pPr>
              <w:autoSpaceDE w:val="0"/>
              <w:autoSpaceDN w:val="0"/>
              <w:adjustRightInd w:val="0"/>
              <w:spacing w:before="97" w:beforeLines="30" w:line="360" w:lineRule="auto"/>
              <w:jc w:val="center"/>
              <w:rPr>
                <w:rFonts w:ascii="宋体" w:hAnsi="宋体"/>
                <w:spacing w:val="20"/>
                <w:ker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80" w:type="pct"/>
            <w:vAlign w:val="center"/>
          </w:tcPr>
          <w:p>
            <w:pPr>
              <w:autoSpaceDE w:val="0"/>
              <w:autoSpaceDN w:val="0"/>
              <w:adjustRightInd w:val="0"/>
              <w:spacing w:before="97" w:beforeLines="30" w:line="360" w:lineRule="auto"/>
              <w:jc w:val="center"/>
              <w:rPr>
                <w:rFonts w:ascii="宋体" w:hAnsi="宋体"/>
                <w:spacing w:val="20"/>
                <w:kern w:val="0"/>
                <w:sz w:val="21"/>
                <w:highlight w:val="none"/>
              </w:rPr>
            </w:pPr>
          </w:p>
        </w:tc>
        <w:tc>
          <w:tcPr>
            <w:tcW w:w="811" w:type="pct"/>
            <w:vAlign w:val="center"/>
          </w:tcPr>
          <w:p>
            <w:pPr>
              <w:autoSpaceDE w:val="0"/>
              <w:autoSpaceDN w:val="0"/>
              <w:adjustRightInd w:val="0"/>
              <w:spacing w:before="97" w:beforeLines="30" w:line="360" w:lineRule="auto"/>
              <w:jc w:val="center"/>
              <w:rPr>
                <w:rFonts w:ascii="宋体" w:hAnsi="宋体"/>
                <w:spacing w:val="20"/>
                <w:kern w:val="0"/>
                <w:sz w:val="21"/>
                <w:highlight w:val="none"/>
              </w:rPr>
            </w:pPr>
          </w:p>
        </w:tc>
        <w:tc>
          <w:tcPr>
            <w:tcW w:w="1186" w:type="pct"/>
            <w:vAlign w:val="center"/>
          </w:tcPr>
          <w:p>
            <w:pPr>
              <w:autoSpaceDE w:val="0"/>
              <w:autoSpaceDN w:val="0"/>
              <w:adjustRightInd w:val="0"/>
              <w:spacing w:before="97" w:beforeLines="30" w:line="360" w:lineRule="auto"/>
              <w:jc w:val="center"/>
              <w:rPr>
                <w:rFonts w:ascii="宋体" w:hAnsi="宋体"/>
                <w:spacing w:val="20"/>
                <w:kern w:val="0"/>
                <w:sz w:val="21"/>
                <w:highlight w:val="none"/>
              </w:rPr>
            </w:pPr>
          </w:p>
        </w:tc>
        <w:tc>
          <w:tcPr>
            <w:tcW w:w="1261" w:type="pct"/>
            <w:vAlign w:val="center"/>
          </w:tcPr>
          <w:p>
            <w:pPr>
              <w:autoSpaceDE w:val="0"/>
              <w:autoSpaceDN w:val="0"/>
              <w:adjustRightInd w:val="0"/>
              <w:spacing w:before="97" w:beforeLines="30" w:line="360" w:lineRule="auto"/>
              <w:jc w:val="center"/>
              <w:rPr>
                <w:rFonts w:ascii="宋体" w:hAnsi="宋体"/>
                <w:spacing w:val="20"/>
                <w:kern w:val="0"/>
                <w:sz w:val="21"/>
                <w:highlight w:val="none"/>
              </w:rPr>
            </w:pPr>
          </w:p>
        </w:tc>
        <w:tc>
          <w:tcPr>
            <w:tcW w:w="1258" w:type="pct"/>
            <w:vAlign w:val="center"/>
          </w:tcPr>
          <w:p>
            <w:pPr>
              <w:autoSpaceDE w:val="0"/>
              <w:autoSpaceDN w:val="0"/>
              <w:adjustRightInd w:val="0"/>
              <w:spacing w:before="97" w:beforeLines="30" w:line="360" w:lineRule="auto"/>
              <w:jc w:val="center"/>
              <w:rPr>
                <w:rFonts w:ascii="宋体" w:hAnsi="宋体"/>
                <w:spacing w:val="20"/>
                <w:ker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80" w:type="pct"/>
            <w:vAlign w:val="center"/>
          </w:tcPr>
          <w:p>
            <w:pPr>
              <w:autoSpaceDE w:val="0"/>
              <w:autoSpaceDN w:val="0"/>
              <w:adjustRightInd w:val="0"/>
              <w:spacing w:before="97" w:beforeLines="30" w:line="360" w:lineRule="auto"/>
              <w:jc w:val="center"/>
              <w:rPr>
                <w:rFonts w:ascii="宋体" w:hAnsi="宋体"/>
                <w:spacing w:val="20"/>
                <w:kern w:val="0"/>
                <w:sz w:val="21"/>
                <w:highlight w:val="none"/>
              </w:rPr>
            </w:pPr>
          </w:p>
        </w:tc>
        <w:tc>
          <w:tcPr>
            <w:tcW w:w="811" w:type="pct"/>
            <w:vAlign w:val="center"/>
          </w:tcPr>
          <w:p>
            <w:pPr>
              <w:autoSpaceDE w:val="0"/>
              <w:autoSpaceDN w:val="0"/>
              <w:adjustRightInd w:val="0"/>
              <w:spacing w:before="97" w:beforeLines="30" w:line="360" w:lineRule="auto"/>
              <w:jc w:val="center"/>
              <w:rPr>
                <w:rFonts w:ascii="宋体" w:hAnsi="宋体"/>
                <w:spacing w:val="20"/>
                <w:kern w:val="0"/>
                <w:sz w:val="21"/>
                <w:highlight w:val="none"/>
              </w:rPr>
            </w:pPr>
          </w:p>
        </w:tc>
        <w:tc>
          <w:tcPr>
            <w:tcW w:w="1186" w:type="pct"/>
            <w:vAlign w:val="center"/>
          </w:tcPr>
          <w:p>
            <w:pPr>
              <w:autoSpaceDE w:val="0"/>
              <w:autoSpaceDN w:val="0"/>
              <w:adjustRightInd w:val="0"/>
              <w:spacing w:before="97" w:beforeLines="30" w:line="360" w:lineRule="auto"/>
              <w:jc w:val="center"/>
              <w:rPr>
                <w:rFonts w:ascii="宋体" w:hAnsi="宋体"/>
                <w:spacing w:val="20"/>
                <w:kern w:val="0"/>
                <w:sz w:val="21"/>
                <w:highlight w:val="none"/>
              </w:rPr>
            </w:pPr>
          </w:p>
        </w:tc>
        <w:tc>
          <w:tcPr>
            <w:tcW w:w="1261" w:type="pct"/>
            <w:vAlign w:val="center"/>
          </w:tcPr>
          <w:p>
            <w:pPr>
              <w:autoSpaceDE w:val="0"/>
              <w:autoSpaceDN w:val="0"/>
              <w:adjustRightInd w:val="0"/>
              <w:spacing w:before="97" w:beforeLines="30" w:line="360" w:lineRule="auto"/>
              <w:jc w:val="center"/>
              <w:rPr>
                <w:rFonts w:ascii="宋体" w:hAnsi="宋体"/>
                <w:spacing w:val="20"/>
                <w:kern w:val="0"/>
                <w:sz w:val="21"/>
                <w:highlight w:val="none"/>
              </w:rPr>
            </w:pPr>
          </w:p>
        </w:tc>
        <w:tc>
          <w:tcPr>
            <w:tcW w:w="1258" w:type="pct"/>
            <w:vAlign w:val="center"/>
          </w:tcPr>
          <w:p>
            <w:pPr>
              <w:autoSpaceDE w:val="0"/>
              <w:autoSpaceDN w:val="0"/>
              <w:adjustRightInd w:val="0"/>
              <w:spacing w:before="97" w:beforeLines="30" w:line="360" w:lineRule="auto"/>
              <w:jc w:val="center"/>
              <w:rPr>
                <w:rFonts w:ascii="宋体" w:hAnsi="宋体"/>
                <w:spacing w:val="20"/>
                <w:ker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80" w:type="pct"/>
            <w:vAlign w:val="center"/>
          </w:tcPr>
          <w:p>
            <w:pPr>
              <w:autoSpaceDE w:val="0"/>
              <w:autoSpaceDN w:val="0"/>
              <w:adjustRightInd w:val="0"/>
              <w:spacing w:before="97" w:beforeLines="30" w:line="360" w:lineRule="auto"/>
              <w:jc w:val="center"/>
              <w:rPr>
                <w:rFonts w:ascii="宋体" w:hAnsi="宋体"/>
                <w:spacing w:val="20"/>
                <w:kern w:val="0"/>
                <w:sz w:val="21"/>
                <w:highlight w:val="none"/>
              </w:rPr>
            </w:pPr>
          </w:p>
        </w:tc>
        <w:tc>
          <w:tcPr>
            <w:tcW w:w="811" w:type="pct"/>
            <w:vAlign w:val="center"/>
          </w:tcPr>
          <w:p>
            <w:pPr>
              <w:autoSpaceDE w:val="0"/>
              <w:autoSpaceDN w:val="0"/>
              <w:adjustRightInd w:val="0"/>
              <w:spacing w:before="97" w:beforeLines="30" w:line="360" w:lineRule="auto"/>
              <w:jc w:val="center"/>
              <w:rPr>
                <w:rFonts w:ascii="宋体" w:hAnsi="宋体"/>
                <w:spacing w:val="20"/>
                <w:kern w:val="0"/>
                <w:sz w:val="21"/>
                <w:highlight w:val="none"/>
              </w:rPr>
            </w:pPr>
          </w:p>
        </w:tc>
        <w:tc>
          <w:tcPr>
            <w:tcW w:w="1186" w:type="pct"/>
            <w:vAlign w:val="center"/>
          </w:tcPr>
          <w:p>
            <w:pPr>
              <w:autoSpaceDE w:val="0"/>
              <w:autoSpaceDN w:val="0"/>
              <w:adjustRightInd w:val="0"/>
              <w:spacing w:before="97" w:beforeLines="30" w:line="360" w:lineRule="auto"/>
              <w:jc w:val="center"/>
              <w:rPr>
                <w:rFonts w:ascii="宋体" w:hAnsi="宋体"/>
                <w:spacing w:val="20"/>
                <w:kern w:val="0"/>
                <w:sz w:val="21"/>
                <w:highlight w:val="none"/>
              </w:rPr>
            </w:pPr>
          </w:p>
        </w:tc>
        <w:tc>
          <w:tcPr>
            <w:tcW w:w="1261" w:type="pct"/>
            <w:vAlign w:val="center"/>
          </w:tcPr>
          <w:p>
            <w:pPr>
              <w:autoSpaceDE w:val="0"/>
              <w:autoSpaceDN w:val="0"/>
              <w:adjustRightInd w:val="0"/>
              <w:spacing w:before="97" w:beforeLines="30" w:line="360" w:lineRule="auto"/>
              <w:jc w:val="center"/>
              <w:rPr>
                <w:rFonts w:ascii="宋体" w:hAnsi="宋体"/>
                <w:spacing w:val="20"/>
                <w:kern w:val="0"/>
                <w:sz w:val="21"/>
                <w:highlight w:val="none"/>
              </w:rPr>
            </w:pPr>
          </w:p>
        </w:tc>
        <w:tc>
          <w:tcPr>
            <w:tcW w:w="1258" w:type="pct"/>
            <w:vAlign w:val="center"/>
          </w:tcPr>
          <w:p>
            <w:pPr>
              <w:autoSpaceDE w:val="0"/>
              <w:autoSpaceDN w:val="0"/>
              <w:adjustRightInd w:val="0"/>
              <w:spacing w:before="97" w:beforeLines="30" w:line="360" w:lineRule="auto"/>
              <w:jc w:val="center"/>
              <w:rPr>
                <w:rFonts w:ascii="宋体" w:hAnsi="宋体"/>
                <w:spacing w:val="20"/>
                <w:kern w:val="0"/>
                <w:sz w:val="21"/>
                <w:highlight w:val="none"/>
              </w:rPr>
            </w:pPr>
          </w:p>
        </w:tc>
      </w:tr>
    </w:tbl>
    <w:p>
      <w:pPr>
        <w:adjustRightInd w:val="0"/>
        <w:snapToGrid w:val="0"/>
        <w:spacing w:line="360" w:lineRule="auto"/>
        <w:rPr>
          <w:rFonts w:ascii="宋体" w:hAnsi="宋体"/>
          <w:sz w:val="21"/>
          <w:highlight w:val="none"/>
        </w:rPr>
      </w:pPr>
    </w:p>
    <w:p>
      <w:pPr>
        <w:adjustRightInd w:val="0"/>
        <w:snapToGrid w:val="0"/>
        <w:spacing w:line="360" w:lineRule="auto"/>
        <w:rPr>
          <w:rFonts w:ascii="宋体" w:hAnsi="宋体"/>
          <w:sz w:val="21"/>
          <w:highlight w:val="none"/>
          <w:u w:val="single"/>
        </w:rPr>
      </w:pPr>
      <w:r>
        <w:rPr>
          <w:rFonts w:hint="eastAsia" w:ascii="宋体" w:hAnsi="宋体"/>
          <w:sz w:val="21"/>
          <w:highlight w:val="none"/>
        </w:rPr>
        <w:t>响应供应商授权代表签字：</w:t>
      </w:r>
      <w:r>
        <w:rPr>
          <w:rFonts w:ascii="宋体" w:hAnsi="宋体"/>
          <w:sz w:val="21"/>
          <w:highlight w:val="none"/>
          <w:u w:val="single"/>
        </w:rPr>
        <w:t xml:space="preserve">                        </w:t>
      </w:r>
    </w:p>
    <w:p>
      <w:pPr>
        <w:spacing w:line="360" w:lineRule="auto"/>
        <w:rPr>
          <w:rFonts w:ascii="宋体" w:hAnsi="宋体"/>
          <w:sz w:val="21"/>
          <w:highlight w:val="none"/>
        </w:rPr>
      </w:pPr>
      <w:r>
        <w:rPr>
          <w:rFonts w:hint="eastAsia" w:ascii="宋体" w:hAnsi="宋体"/>
          <w:sz w:val="21"/>
          <w:highlight w:val="none"/>
        </w:rPr>
        <w:t>（加盖响应供应商公章）</w:t>
      </w:r>
    </w:p>
    <w:p>
      <w:pPr>
        <w:spacing w:line="360" w:lineRule="auto"/>
        <w:rPr>
          <w:rFonts w:ascii="宋体" w:hAnsi="宋体"/>
          <w:sz w:val="21"/>
          <w:highlight w:val="none"/>
        </w:rPr>
      </w:pPr>
      <w:r>
        <w:rPr>
          <w:rFonts w:hint="eastAsia" w:ascii="宋体" w:hAnsi="宋体"/>
          <w:sz w:val="21"/>
          <w:highlight w:val="none"/>
        </w:rPr>
        <w:t>日期：</w:t>
      </w:r>
      <w:r>
        <w:rPr>
          <w:rFonts w:ascii="宋体" w:hAnsi="宋体"/>
          <w:sz w:val="21"/>
          <w:highlight w:val="none"/>
          <w:u w:val="single"/>
        </w:rPr>
        <w:t xml:space="preserve">                        </w:t>
      </w:r>
    </w:p>
    <w:p>
      <w:pPr>
        <w:adjustRightInd w:val="0"/>
        <w:snapToGrid w:val="0"/>
        <w:spacing w:line="440" w:lineRule="exact"/>
        <w:jc w:val="center"/>
        <w:rPr>
          <w:rFonts w:ascii="宋体" w:hAnsi="宋体"/>
          <w:b/>
          <w:kern w:val="0"/>
          <w:sz w:val="32"/>
          <w:highlight w:val="none"/>
        </w:rPr>
      </w:pPr>
    </w:p>
    <w:p>
      <w:pPr>
        <w:adjustRightInd w:val="0"/>
        <w:snapToGrid w:val="0"/>
        <w:spacing w:line="440" w:lineRule="exact"/>
        <w:jc w:val="center"/>
        <w:rPr>
          <w:rFonts w:ascii="宋体" w:hAnsi="宋体"/>
          <w:b/>
          <w:kern w:val="0"/>
          <w:sz w:val="32"/>
          <w:highlight w:val="none"/>
        </w:rPr>
      </w:pPr>
    </w:p>
    <w:p>
      <w:pPr>
        <w:adjustRightInd w:val="0"/>
        <w:snapToGrid w:val="0"/>
        <w:spacing w:line="360" w:lineRule="auto"/>
        <w:rPr>
          <w:rFonts w:ascii="宋体" w:hAnsi="宋体"/>
          <w:b/>
          <w:kern w:val="0"/>
          <w:highlight w:val="none"/>
        </w:rPr>
      </w:pPr>
      <w:r>
        <w:rPr>
          <w:rFonts w:ascii="宋体" w:hAnsi="宋体"/>
          <w:b/>
          <w:szCs w:val="24"/>
          <w:highlight w:val="none"/>
        </w:rPr>
        <w:br w:type="page"/>
      </w:r>
      <w:r>
        <w:rPr>
          <w:rFonts w:hint="eastAsia" w:ascii="宋体" w:hAnsi="宋体"/>
          <w:b/>
          <w:szCs w:val="24"/>
          <w:highlight w:val="none"/>
        </w:rPr>
        <w:t>（2）</w:t>
      </w:r>
      <w:r>
        <w:rPr>
          <w:rFonts w:hint="eastAsia" w:ascii="宋体" w:hAnsi="宋体"/>
          <w:b/>
          <w:kern w:val="0"/>
          <w:highlight w:val="none"/>
        </w:rPr>
        <w:t>服务团队人员情况表</w:t>
      </w:r>
    </w:p>
    <w:p>
      <w:pPr>
        <w:adjustRightInd w:val="0"/>
        <w:snapToGrid w:val="0"/>
        <w:spacing w:line="440" w:lineRule="exact"/>
        <w:jc w:val="center"/>
        <w:rPr>
          <w:rFonts w:ascii="宋体" w:hAnsi="宋体"/>
          <w:b/>
          <w:kern w:val="0"/>
          <w:sz w:val="32"/>
          <w:highlight w:val="none"/>
        </w:rPr>
      </w:pPr>
      <w:r>
        <w:rPr>
          <w:rFonts w:hint="eastAsia" w:ascii="宋体" w:hAnsi="宋体"/>
          <w:sz w:val="21"/>
          <w:highlight w:val="none"/>
        </w:rPr>
        <w:t>（附相关证书、上岗证、相关培训经验证明等）</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1041"/>
        <w:gridCol w:w="2304"/>
        <w:gridCol w:w="818"/>
        <w:gridCol w:w="2317"/>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gridSpan w:val="6"/>
          </w:tcPr>
          <w:p>
            <w:pPr>
              <w:autoSpaceDE w:val="0"/>
              <w:autoSpaceDN w:val="0"/>
              <w:adjustRightInd w:val="0"/>
              <w:spacing w:before="120" w:line="360" w:lineRule="auto"/>
              <w:jc w:val="center"/>
              <w:rPr>
                <w:rFonts w:ascii="宋体" w:hAnsi="宋体"/>
                <w:spacing w:val="20"/>
                <w:kern w:val="0"/>
                <w:sz w:val="21"/>
                <w:highlight w:val="none"/>
              </w:rPr>
            </w:pPr>
            <w:r>
              <w:rPr>
                <w:rFonts w:ascii="宋体" w:hAnsi="宋体"/>
                <w:spacing w:val="20"/>
                <w:kern w:val="0"/>
                <w:sz w:val="21"/>
                <w:highlight w:val="none"/>
              </w:rPr>
              <w:t>1.</w:t>
            </w:r>
            <w:r>
              <w:rPr>
                <w:rFonts w:hint="eastAsia" w:ascii="宋体" w:hAnsi="宋体"/>
                <w:spacing w:val="20"/>
                <w:kern w:val="0"/>
                <w:sz w:val="21"/>
                <w:highlight w:val="none"/>
              </w:rPr>
              <w:t>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autoSpaceDE w:val="0"/>
              <w:autoSpaceDN w:val="0"/>
              <w:adjustRightInd w:val="0"/>
              <w:spacing w:before="120" w:line="360" w:lineRule="auto"/>
              <w:jc w:val="center"/>
              <w:rPr>
                <w:rFonts w:ascii="宋体" w:hAnsi="宋体"/>
                <w:spacing w:val="20"/>
                <w:kern w:val="0"/>
                <w:sz w:val="21"/>
                <w:highlight w:val="none"/>
              </w:rPr>
            </w:pPr>
            <w:r>
              <w:rPr>
                <w:rFonts w:hint="eastAsia" w:ascii="宋体" w:hAnsi="宋体"/>
                <w:spacing w:val="20"/>
                <w:kern w:val="0"/>
                <w:sz w:val="21"/>
                <w:highlight w:val="none"/>
              </w:rPr>
              <w:t>姓名</w:t>
            </w:r>
          </w:p>
        </w:tc>
        <w:tc>
          <w:tcPr>
            <w:tcW w:w="1041" w:type="dxa"/>
          </w:tcPr>
          <w:p>
            <w:pPr>
              <w:autoSpaceDE w:val="0"/>
              <w:autoSpaceDN w:val="0"/>
              <w:adjustRightInd w:val="0"/>
              <w:spacing w:before="120" w:line="360" w:lineRule="auto"/>
              <w:jc w:val="center"/>
              <w:rPr>
                <w:rFonts w:ascii="宋体" w:hAnsi="宋体"/>
                <w:spacing w:val="20"/>
                <w:kern w:val="0"/>
                <w:sz w:val="21"/>
                <w:highlight w:val="none"/>
              </w:rPr>
            </w:pPr>
          </w:p>
        </w:tc>
        <w:tc>
          <w:tcPr>
            <w:tcW w:w="2304" w:type="dxa"/>
          </w:tcPr>
          <w:p>
            <w:pPr>
              <w:autoSpaceDE w:val="0"/>
              <w:autoSpaceDN w:val="0"/>
              <w:adjustRightInd w:val="0"/>
              <w:spacing w:before="120" w:line="360" w:lineRule="auto"/>
              <w:jc w:val="center"/>
              <w:rPr>
                <w:rFonts w:ascii="宋体" w:hAnsi="宋体"/>
                <w:spacing w:val="20"/>
                <w:kern w:val="0"/>
                <w:sz w:val="21"/>
                <w:highlight w:val="none"/>
              </w:rPr>
            </w:pPr>
            <w:r>
              <w:rPr>
                <w:rFonts w:hint="eastAsia" w:ascii="宋体" w:hAnsi="宋体"/>
                <w:spacing w:val="20"/>
                <w:kern w:val="0"/>
                <w:sz w:val="21"/>
                <w:highlight w:val="none"/>
              </w:rPr>
              <w:t>年龄</w:t>
            </w:r>
          </w:p>
        </w:tc>
        <w:tc>
          <w:tcPr>
            <w:tcW w:w="818" w:type="dxa"/>
          </w:tcPr>
          <w:p>
            <w:pPr>
              <w:autoSpaceDE w:val="0"/>
              <w:autoSpaceDN w:val="0"/>
              <w:adjustRightInd w:val="0"/>
              <w:spacing w:before="120" w:line="360" w:lineRule="auto"/>
              <w:jc w:val="center"/>
              <w:rPr>
                <w:rFonts w:ascii="宋体" w:hAnsi="宋体"/>
                <w:spacing w:val="20"/>
                <w:kern w:val="0"/>
                <w:sz w:val="21"/>
                <w:highlight w:val="none"/>
              </w:rPr>
            </w:pPr>
          </w:p>
        </w:tc>
        <w:tc>
          <w:tcPr>
            <w:tcW w:w="2317" w:type="dxa"/>
          </w:tcPr>
          <w:p>
            <w:pPr>
              <w:autoSpaceDE w:val="0"/>
              <w:autoSpaceDN w:val="0"/>
              <w:adjustRightInd w:val="0"/>
              <w:spacing w:before="120" w:line="360" w:lineRule="auto"/>
              <w:jc w:val="center"/>
              <w:rPr>
                <w:rFonts w:ascii="宋体" w:hAnsi="宋体"/>
                <w:spacing w:val="20"/>
                <w:kern w:val="0"/>
                <w:sz w:val="21"/>
                <w:highlight w:val="none"/>
              </w:rPr>
            </w:pPr>
            <w:r>
              <w:rPr>
                <w:rFonts w:hint="eastAsia" w:ascii="宋体" w:hAnsi="宋体"/>
                <w:spacing w:val="20"/>
                <w:kern w:val="0"/>
                <w:sz w:val="21"/>
                <w:highlight w:val="none"/>
              </w:rPr>
              <w:t>技术职务</w:t>
            </w:r>
          </w:p>
        </w:tc>
        <w:tc>
          <w:tcPr>
            <w:tcW w:w="886" w:type="dxa"/>
          </w:tcPr>
          <w:p>
            <w:pPr>
              <w:autoSpaceDE w:val="0"/>
              <w:autoSpaceDN w:val="0"/>
              <w:adjustRightInd w:val="0"/>
              <w:spacing w:before="120" w:line="360" w:lineRule="auto"/>
              <w:jc w:val="center"/>
              <w:rPr>
                <w:rFonts w:ascii="宋体" w:hAnsi="宋体"/>
                <w:spacing w:val="20"/>
                <w:ker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autoSpaceDE w:val="0"/>
              <w:autoSpaceDN w:val="0"/>
              <w:adjustRightInd w:val="0"/>
              <w:spacing w:before="120" w:line="360" w:lineRule="auto"/>
              <w:jc w:val="center"/>
              <w:rPr>
                <w:rFonts w:ascii="宋体" w:hAnsi="宋体"/>
                <w:spacing w:val="20"/>
                <w:kern w:val="0"/>
                <w:sz w:val="21"/>
                <w:highlight w:val="none"/>
              </w:rPr>
            </w:pPr>
            <w:r>
              <w:rPr>
                <w:rFonts w:hint="eastAsia" w:ascii="宋体" w:hAnsi="宋体"/>
                <w:spacing w:val="20"/>
                <w:kern w:val="0"/>
                <w:sz w:val="21"/>
                <w:highlight w:val="none"/>
              </w:rPr>
              <w:t>职务</w:t>
            </w:r>
          </w:p>
        </w:tc>
        <w:tc>
          <w:tcPr>
            <w:tcW w:w="1041" w:type="dxa"/>
          </w:tcPr>
          <w:p>
            <w:pPr>
              <w:autoSpaceDE w:val="0"/>
              <w:autoSpaceDN w:val="0"/>
              <w:adjustRightInd w:val="0"/>
              <w:spacing w:before="120" w:line="360" w:lineRule="auto"/>
              <w:jc w:val="center"/>
              <w:rPr>
                <w:rFonts w:ascii="宋体" w:hAnsi="宋体"/>
                <w:spacing w:val="20"/>
                <w:kern w:val="0"/>
                <w:sz w:val="21"/>
                <w:highlight w:val="none"/>
              </w:rPr>
            </w:pPr>
          </w:p>
        </w:tc>
        <w:tc>
          <w:tcPr>
            <w:tcW w:w="2304" w:type="dxa"/>
          </w:tcPr>
          <w:p>
            <w:pPr>
              <w:autoSpaceDE w:val="0"/>
              <w:autoSpaceDN w:val="0"/>
              <w:adjustRightInd w:val="0"/>
              <w:spacing w:before="120" w:line="360" w:lineRule="auto"/>
              <w:jc w:val="center"/>
              <w:rPr>
                <w:rFonts w:ascii="宋体" w:hAnsi="宋体"/>
                <w:spacing w:val="20"/>
                <w:kern w:val="0"/>
                <w:sz w:val="21"/>
                <w:highlight w:val="none"/>
              </w:rPr>
            </w:pPr>
            <w:r>
              <w:rPr>
                <w:rFonts w:hint="eastAsia" w:ascii="宋体" w:hAnsi="宋体"/>
                <w:spacing w:val="20"/>
                <w:kern w:val="0"/>
                <w:sz w:val="21"/>
                <w:highlight w:val="none"/>
              </w:rPr>
              <w:t>本合同中拟任职务</w:t>
            </w:r>
          </w:p>
        </w:tc>
        <w:tc>
          <w:tcPr>
            <w:tcW w:w="818" w:type="dxa"/>
          </w:tcPr>
          <w:p>
            <w:pPr>
              <w:autoSpaceDE w:val="0"/>
              <w:autoSpaceDN w:val="0"/>
              <w:adjustRightInd w:val="0"/>
              <w:spacing w:before="120" w:line="360" w:lineRule="auto"/>
              <w:jc w:val="center"/>
              <w:rPr>
                <w:rFonts w:ascii="宋体" w:hAnsi="宋体"/>
                <w:spacing w:val="20"/>
                <w:kern w:val="0"/>
                <w:sz w:val="21"/>
                <w:highlight w:val="none"/>
              </w:rPr>
            </w:pPr>
          </w:p>
        </w:tc>
        <w:tc>
          <w:tcPr>
            <w:tcW w:w="2317" w:type="dxa"/>
          </w:tcPr>
          <w:p>
            <w:pPr>
              <w:autoSpaceDE w:val="0"/>
              <w:autoSpaceDN w:val="0"/>
              <w:adjustRightInd w:val="0"/>
              <w:spacing w:before="120" w:line="360" w:lineRule="auto"/>
              <w:jc w:val="center"/>
              <w:rPr>
                <w:rFonts w:ascii="宋体" w:hAnsi="宋体"/>
                <w:spacing w:val="20"/>
                <w:kern w:val="0"/>
                <w:sz w:val="21"/>
                <w:highlight w:val="none"/>
              </w:rPr>
            </w:pPr>
            <w:r>
              <w:rPr>
                <w:rFonts w:hint="eastAsia" w:ascii="宋体" w:hAnsi="宋体"/>
                <w:spacing w:val="20"/>
                <w:kern w:val="0"/>
                <w:sz w:val="21"/>
                <w:highlight w:val="none"/>
              </w:rPr>
              <w:t>为申请人服务时间</w:t>
            </w:r>
          </w:p>
        </w:tc>
        <w:tc>
          <w:tcPr>
            <w:tcW w:w="886" w:type="dxa"/>
          </w:tcPr>
          <w:p>
            <w:pPr>
              <w:autoSpaceDE w:val="0"/>
              <w:autoSpaceDN w:val="0"/>
              <w:adjustRightInd w:val="0"/>
              <w:spacing w:before="120" w:line="360" w:lineRule="auto"/>
              <w:jc w:val="center"/>
              <w:rPr>
                <w:rFonts w:ascii="宋体" w:hAnsi="宋体"/>
                <w:spacing w:val="20"/>
                <w:ker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56" w:type="dxa"/>
          </w:tcPr>
          <w:p>
            <w:pPr>
              <w:autoSpaceDE w:val="0"/>
              <w:autoSpaceDN w:val="0"/>
              <w:adjustRightInd w:val="0"/>
              <w:spacing w:before="120" w:line="360" w:lineRule="auto"/>
              <w:jc w:val="center"/>
              <w:rPr>
                <w:rFonts w:ascii="宋体" w:hAnsi="宋体"/>
                <w:spacing w:val="20"/>
                <w:kern w:val="0"/>
                <w:sz w:val="21"/>
                <w:highlight w:val="none"/>
              </w:rPr>
            </w:pPr>
            <w:r>
              <w:rPr>
                <w:rFonts w:hint="eastAsia" w:ascii="宋体" w:hAnsi="宋体"/>
                <w:spacing w:val="20"/>
                <w:kern w:val="0"/>
                <w:sz w:val="21"/>
                <w:highlight w:val="none"/>
              </w:rPr>
              <w:t>学历</w:t>
            </w:r>
          </w:p>
        </w:tc>
        <w:tc>
          <w:tcPr>
            <w:tcW w:w="7366" w:type="dxa"/>
            <w:gridSpan w:val="5"/>
          </w:tcPr>
          <w:p>
            <w:pPr>
              <w:autoSpaceDE w:val="0"/>
              <w:autoSpaceDN w:val="0"/>
              <w:adjustRightInd w:val="0"/>
              <w:spacing w:before="120" w:line="360" w:lineRule="auto"/>
              <w:rPr>
                <w:rFonts w:ascii="宋体" w:hAnsi="宋体"/>
                <w:spacing w:val="20"/>
                <w:ker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97" w:type="dxa"/>
            <w:gridSpan w:val="2"/>
          </w:tcPr>
          <w:p>
            <w:pPr>
              <w:autoSpaceDE w:val="0"/>
              <w:autoSpaceDN w:val="0"/>
              <w:adjustRightInd w:val="0"/>
              <w:spacing w:before="120" w:line="360" w:lineRule="auto"/>
              <w:jc w:val="center"/>
              <w:rPr>
                <w:rFonts w:ascii="宋体" w:hAnsi="宋体"/>
                <w:spacing w:val="20"/>
                <w:kern w:val="0"/>
                <w:sz w:val="21"/>
                <w:highlight w:val="none"/>
              </w:rPr>
            </w:pPr>
            <w:r>
              <w:rPr>
                <w:rFonts w:hint="eastAsia" w:ascii="宋体" w:hAnsi="宋体"/>
                <w:spacing w:val="20"/>
                <w:kern w:val="0"/>
                <w:sz w:val="21"/>
                <w:highlight w:val="none"/>
              </w:rPr>
              <w:t>相关职业资格</w:t>
            </w:r>
          </w:p>
        </w:tc>
        <w:tc>
          <w:tcPr>
            <w:tcW w:w="2304" w:type="dxa"/>
          </w:tcPr>
          <w:p>
            <w:pPr>
              <w:autoSpaceDE w:val="0"/>
              <w:autoSpaceDN w:val="0"/>
              <w:adjustRightInd w:val="0"/>
              <w:spacing w:before="120" w:line="360" w:lineRule="auto"/>
              <w:rPr>
                <w:rFonts w:ascii="宋体" w:hAnsi="宋体"/>
                <w:spacing w:val="20"/>
                <w:kern w:val="0"/>
                <w:sz w:val="21"/>
                <w:highlight w:val="none"/>
              </w:rPr>
            </w:pPr>
          </w:p>
        </w:tc>
        <w:tc>
          <w:tcPr>
            <w:tcW w:w="3135" w:type="dxa"/>
            <w:gridSpan w:val="2"/>
          </w:tcPr>
          <w:p>
            <w:pPr>
              <w:autoSpaceDE w:val="0"/>
              <w:autoSpaceDN w:val="0"/>
              <w:adjustRightInd w:val="0"/>
              <w:spacing w:before="120" w:line="360" w:lineRule="auto"/>
              <w:jc w:val="center"/>
              <w:rPr>
                <w:rFonts w:ascii="宋体" w:hAnsi="宋体"/>
                <w:spacing w:val="20"/>
                <w:kern w:val="0"/>
                <w:sz w:val="21"/>
                <w:highlight w:val="none"/>
              </w:rPr>
            </w:pPr>
            <w:r>
              <w:rPr>
                <w:rFonts w:hint="eastAsia" w:ascii="宋体" w:hAnsi="宋体"/>
                <w:spacing w:val="20"/>
                <w:kern w:val="0"/>
                <w:sz w:val="21"/>
                <w:highlight w:val="none"/>
              </w:rPr>
              <w:t>取得职业资格时间</w:t>
            </w:r>
          </w:p>
        </w:tc>
        <w:tc>
          <w:tcPr>
            <w:tcW w:w="886" w:type="dxa"/>
          </w:tcPr>
          <w:p>
            <w:pPr>
              <w:autoSpaceDE w:val="0"/>
              <w:autoSpaceDN w:val="0"/>
              <w:adjustRightInd w:val="0"/>
              <w:spacing w:before="120" w:line="360" w:lineRule="auto"/>
              <w:rPr>
                <w:rFonts w:ascii="宋体" w:hAnsi="宋体"/>
                <w:spacing w:val="20"/>
                <w:ker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gridSpan w:val="6"/>
          </w:tcPr>
          <w:p>
            <w:pPr>
              <w:autoSpaceDE w:val="0"/>
              <w:autoSpaceDN w:val="0"/>
              <w:adjustRightInd w:val="0"/>
              <w:spacing w:before="120" w:line="360" w:lineRule="auto"/>
              <w:jc w:val="center"/>
              <w:rPr>
                <w:rFonts w:ascii="宋体" w:hAnsi="宋体"/>
                <w:spacing w:val="20"/>
                <w:kern w:val="0"/>
                <w:sz w:val="21"/>
                <w:highlight w:val="none"/>
              </w:rPr>
            </w:pPr>
            <w:r>
              <w:rPr>
                <w:rFonts w:ascii="宋体" w:hAnsi="宋体"/>
                <w:spacing w:val="20"/>
                <w:kern w:val="0"/>
                <w:sz w:val="21"/>
                <w:highlight w:val="none"/>
              </w:rPr>
              <w:t>2.</w:t>
            </w:r>
            <w:r>
              <w:rPr>
                <w:rFonts w:hint="eastAsia" w:ascii="宋体" w:hAnsi="宋体"/>
                <w:spacing w:val="20"/>
                <w:kern w:val="0"/>
                <w:sz w:val="21"/>
                <w:highlight w:val="none"/>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56" w:type="dxa"/>
            <w:vAlign w:val="center"/>
          </w:tcPr>
          <w:p>
            <w:pPr>
              <w:autoSpaceDE w:val="0"/>
              <w:autoSpaceDN w:val="0"/>
              <w:adjustRightInd w:val="0"/>
              <w:spacing w:before="120" w:line="360" w:lineRule="auto"/>
              <w:jc w:val="center"/>
              <w:rPr>
                <w:rFonts w:ascii="宋体" w:hAnsi="宋体"/>
                <w:spacing w:val="20"/>
                <w:kern w:val="0"/>
                <w:sz w:val="21"/>
                <w:highlight w:val="none"/>
              </w:rPr>
            </w:pPr>
            <w:r>
              <w:rPr>
                <w:rFonts w:hint="eastAsia" w:ascii="宋体" w:hAnsi="宋体"/>
                <w:spacing w:val="20"/>
                <w:kern w:val="0"/>
                <w:sz w:val="21"/>
                <w:highlight w:val="none"/>
              </w:rPr>
              <w:t>年份</w:t>
            </w:r>
          </w:p>
        </w:tc>
        <w:tc>
          <w:tcPr>
            <w:tcW w:w="3345" w:type="dxa"/>
            <w:gridSpan w:val="2"/>
          </w:tcPr>
          <w:p>
            <w:pPr>
              <w:autoSpaceDE w:val="0"/>
              <w:autoSpaceDN w:val="0"/>
              <w:adjustRightInd w:val="0"/>
              <w:spacing w:before="120" w:line="360" w:lineRule="auto"/>
              <w:jc w:val="center"/>
              <w:rPr>
                <w:rFonts w:ascii="宋体" w:hAnsi="宋体"/>
                <w:spacing w:val="20"/>
                <w:kern w:val="0"/>
                <w:sz w:val="21"/>
                <w:highlight w:val="none"/>
              </w:rPr>
            </w:pPr>
            <w:r>
              <w:rPr>
                <w:rFonts w:hint="eastAsia" w:ascii="宋体" w:hAnsi="宋体"/>
                <w:spacing w:val="20"/>
                <w:kern w:val="0"/>
                <w:sz w:val="21"/>
                <w:highlight w:val="none"/>
              </w:rPr>
              <w:t>负责过的主要项目</w:t>
            </w:r>
          </w:p>
          <w:p>
            <w:pPr>
              <w:autoSpaceDE w:val="0"/>
              <w:autoSpaceDN w:val="0"/>
              <w:adjustRightInd w:val="0"/>
              <w:spacing w:before="120" w:line="360" w:lineRule="auto"/>
              <w:jc w:val="center"/>
              <w:rPr>
                <w:rFonts w:ascii="宋体" w:hAnsi="宋体"/>
                <w:spacing w:val="20"/>
                <w:kern w:val="0"/>
                <w:sz w:val="21"/>
                <w:highlight w:val="none"/>
              </w:rPr>
            </w:pPr>
            <w:r>
              <w:rPr>
                <w:rFonts w:hint="eastAsia" w:ascii="宋体" w:hAnsi="宋体"/>
                <w:spacing w:val="20"/>
                <w:kern w:val="0"/>
                <w:sz w:val="21"/>
                <w:highlight w:val="none"/>
              </w:rPr>
              <w:t>（类型）</w:t>
            </w:r>
          </w:p>
        </w:tc>
        <w:tc>
          <w:tcPr>
            <w:tcW w:w="3135" w:type="dxa"/>
            <w:gridSpan w:val="2"/>
            <w:vAlign w:val="center"/>
          </w:tcPr>
          <w:p>
            <w:pPr>
              <w:autoSpaceDE w:val="0"/>
              <w:autoSpaceDN w:val="0"/>
              <w:adjustRightInd w:val="0"/>
              <w:spacing w:before="120" w:line="360" w:lineRule="auto"/>
              <w:jc w:val="center"/>
              <w:rPr>
                <w:rFonts w:ascii="宋体" w:hAnsi="宋体"/>
                <w:spacing w:val="20"/>
                <w:kern w:val="0"/>
                <w:sz w:val="21"/>
                <w:highlight w:val="none"/>
              </w:rPr>
            </w:pPr>
            <w:r>
              <w:rPr>
                <w:rFonts w:hint="eastAsia" w:ascii="宋体" w:hAnsi="宋体"/>
                <w:spacing w:val="20"/>
                <w:kern w:val="0"/>
                <w:sz w:val="21"/>
                <w:highlight w:val="none"/>
              </w:rPr>
              <w:t>该项目中任职</w:t>
            </w:r>
          </w:p>
        </w:tc>
        <w:tc>
          <w:tcPr>
            <w:tcW w:w="886" w:type="dxa"/>
            <w:vAlign w:val="center"/>
          </w:tcPr>
          <w:p>
            <w:pPr>
              <w:autoSpaceDE w:val="0"/>
              <w:autoSpaceDN w:val="0"/>
              <w:adjustRightInd w:val="0"/>
              <w:spacing w:before="120" w:line="360" w:lineRule="auto"/>
              <w:jc w:val="center"/>
              <w:rPr>
                <w:rFonts w:ascii="宋体" w:hAnsi="宋体"/>
                <w:spacing w:val="20"/>
                <w:kern w:val="0"/>
                <w:sz w:val="21"/>
                <w:highlight w:val="none"/>
              </w:rPr>
            </w:pPr>
            <w:r>
              <w:rPr>
                <w:rFonts w:hint="eastAsia" w:ascii="宋体" w:hAnsi="宋体"/>
                <w:spacing w:val="20"/>
                <w:kern w:val="0"/>
                <w:sz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0" w:hRule="atLeast"/>
        </w:trPr>
        <w:tc>
          <w:tcPr>
            <w:tcW w:w="1156" w:type="dxa"/>
          </w:tcPr>
          <w:p>
            <w:pPr>
              <w:autoSpaceDE w:val="0"/>
              <w:autoSpaceDN w:val="0"/>
              <w:adjustRightInd w:val="0"/>
              <w:spacing w:before="120" w:line="360" w:lineRule="auto"/>
              <w:rPr>
                <w:rFonts w:ascii="宋体" w:hAnsi="宋体"/>
                <w:spacing w:val="20"/>
                <w:kern w:val="0"/>
                <w:sz w:val="21"/>
                <w:highlight w:val="none"/>
              </w:rPr>
            </w:pPr>
          </w:p>
        </w:tc>
        <w:tc>
          <w:tcPr>
            <w:tcW w:w="3345" w:type="dxa"/>
            <w:gridSpan w:val="2"/>
          </w:tcPr>
          <w:p>
            <w:pPr>
              <w:autoSpaceDE w:val="0"/>
              <w:autoSpaceDN w:val="0"/>
              <w:adjustRightInd w:val="0"/>
              <w:spacing w:before="120" w:line="360" w:lineRule="auto"/>
              <w:rPr>
                <w:rFonts w:ascii="宋体" w:hAnsi="宋体"/>
                <w:spacing w:val="20"/>
                <w:kern w:val="0"/>
                <w:sz w:val="21"/>
                <w:highlight w:val="none"/>
              </w:rPr>
            </w:pPr>
          </w:p>
        </w:tc>
        <w:tc>
          <w:tcPr>
            <w:tcW w:w="3135" w:type="dxa"/>
            <w:gridSpan w:val="2"/>
          </w:tcPr>
          <w:p>
            <w:pPr>
              <w:autoSpaceDE w:val="0"/>
              <w:autoSpaceDN w:val="0"/>
              <w:adjustRightInd w:val="0"/>
              <w:spacing w:before="120" w:line="360" w:lineRule="auto"/>
              <w:rPr>
                <w:rFonts w:ascii="宋体" w:hAnsi="宋体"/>
                <w:spacing w:val="20"/>
                <w:kern w:val="0"/>
                <w:sz w:val="21"/>
                <w:highlight w:val="none"/>
              </w:rPr>
            </w:pPr>
          </w:p>
        </w:tc>
        <w:tc>
          <w:tcPr>
            <w:tcW w:w="886" w:type="dxa"/>
          </w:tcPr>
          <w:p>
            <w:pPr>
              <w:autoSpaceDE w:val="0"/>
              <w:autoSpaceDN w:val="0"/>
              <w:adjustRightInd w:val="0"/>
              <w:spacing w:before="120" w:line="360" w:lineRule="auto"/>
              <w:rPr>
                <w:rFonts w:ascii="宋体" w:hAnsi="宋体"/>
                <w:spacing w:val="20"/>
                <w:kern w:val="0"/>
                <w:sz w:val="21"/>
                <w:highlight w:val="none"/>
              </w:rPr>
            </w:pPr>
          </w:p>
        </w:tc>
      </w:tr>
    </w:tbl>
    <w:p>
      <w:pPr>
        <w:adjustRightInd w:val="0"/>
        <w:snapToGrid w:val="0"/>
        <w:spacing w:line="360" w:lineRule="auto"/>
        <w:rPr>
          <w:rFonts w:ascii="宋体" w:hAnsi="宋体"/>
          <w:sz w:val="21"/>
          <w:highlight w:val="none"/>
        </w:rPr>
      </w:pPr>
    </w:p>
    <w:p>
      <w:pPr>
        <w:adjustRightInd w:val="0"/>
        <w:snapToGrid w:val="0"/>
        <w:spacing w:line="360" w:lineRule="auto"/>
        <w:rPr>
          <w:rFonts w:ascii="宋体" w:hAnsi="宋体"/>
          <w:sz w:val="21"/>
          <w:highlight w:val="none"/>
          <w:u w:val="single"/>
        </w:rPr>
      </w:pPr>
      <w:r>
        <w:rPr>
          <w:rFonts w:hint="eastAsia" w:ascii="宋体" w:hAnsi="宋体"/>
          <w:sz w:val="21"/>
          <w:highlight w:val="none"/>
        </w:rPr>
        <w:t>响应供应商授权代表签字：</w:t>
      </w:r>
      <w:r>
        <w:rPr>
          <w:rFonts w:ascii="宋体" w:hAnsi="宋体"/>
          <w:sz w:val="21"/>
          <w:highlight w:val="none"/>
          <w:u w:val="single"/>
        </w:rPr>
        <w:t xml:space="preserve">                        </w:t>
      </w:r>
    </w:p>
    <w:p>
      <w:pPr>
        <w:spacing w:line="360" w:lineRule="auto"/>
        <w:rPr>
          <w:rFonts w:ascii="宋体" w:hAnsi="宋体"/>
          <w:sz w:val="21"/>
          <w:highlight w:val="none"/>
        </w:rPr>
      </w:pPr>
      <w:r>
        <w:rPr>
          <w:rFonts w:hint="eastAsia" w:ascii="宋体" w:hAnsi="宋体"/>
          <w:sz w:val="21"/>
          <w:highlight w:val="none"/>
        </w:rPr>
        <w:t>（加盖响应供应商公章）</w:t>
      </w:r>
    </w:p>
    <w:p>
      <w:pPr>
        <w:spacing w:line="360" w:lineRule="auto"/>
        <w:rPr>
          <w:rFonts w:ascii="宋体" w:hAnsi="宋体"/>
          <w:sz w:val="21"/>
          <w:highlight w:val="none"/>
        </w:rPr>
      </w:pPr>
      <w:r>
        <w:rPr>
          <w:rFonts w:hint="eastAsia" w:ascii="宋体" w:hAnsi="宋体"/>
          <w:sz w:val="21"/>
          <w:highlight w:val="none"/>
        </w:rPr>
        <w:t>日期：</w:t>
      </w:r>
      <w:r>
        <w:rPr>
          <w:rFonts w:ascii="宋体" w:hAnsi="宋体"/>
          <w:sz w:val="21"/>
          <w:highlight w:val="none"/>
          <w:u w:val="single"/>
        </w:rPr>
        <w:t xml:space="preserve">                        </w:t>
      </w:r>
    </w:p>
    <w:p>
      <w:pPr>
        <w:adjustRightInd w:val="0"/>
        <w:snapToGrid w:val="0"/>
        <w:spacing w:line="360" w:lineRule="auto"/>
        <w:rPr>
          <w:rFonts w:ascii="宋体" w:hAnsi="宋体"/>
          <w:highlight w:val="none"/>
        </w:rPr>
      </w:pPr>
    </w:p>
    <w:p>
      <w:pPr>
        <w:spacing w:line="450" w:lineRule="atLeast"/>
        <w:jc w:val="left"/>
        <w:rPr>
          <w:rFonts w:hint="eastAsia" w:ascii="宋体" w:hAnsi="宋体" w:eastAsia="宋体"/>
          <w:b/>
          <w:szCs w:val="24"/>
          <w:highlight w:val="none"/>
          <w:lang w:eastAsia="zh-CN"/>
        </w:rPr>
      </w:pPr>
      <w:r>
        <w:rPr>
          <w:rFonts w:hint="eastAsia" w:ascii="宋体" w:hAnsi="宋体"/>
          <w:b/>
          <w:szCs w:val="24"/>
          <w:highlight w:val="none"/>
        </w:rPr>
        <w:br w:type="page"/>
      </w:r>
      <w:r>
        <w:rPr>
          <w:rFonts w:hint="eastAsia" w:ascii="宋体" w:hAnsi="宋体"/>
          <w:b/>
          <w:szCs w:val="24"/>
          <w:highlight w:val="none"/>
        </w:rPr>
        <w:t>附件</w:t>
      </w:r>
      <w:r>
        <w:rPr>
          <w:rFonts w:hint="eastAsia" w:ascii="宋体" w:hAnsi="宋体"/>
          <w:b/>
          <w:szCs w:val="24"/>
          <w:highlight w:val="none"/>
          <w:lang w:val="en-US" w:eastAsia="zh-CN"/>
        </w:rPr>
        <w:t>7</w:t>
      </w:r>
    </w:p>
    <w:p>
      <w:pPr>
        <w:adjustRightInd w:val="0"/>
        <w:snapToGrid w:val="0"/>
        <w:spacing w:after="163" w:afterLines="50" w:line="360" w:lineRule="auto"/>
        <w:jc w:val="center"/>
        <w:rPr>
          <w:rFonts w:ascii="宋体" w:hAnsi="宋体"/>
          <w:b/>
          <w:sz w:val="32"/>
          <w:highlight w:val="none"/>
        </w:rPr>
      </w:pPr>
      <w:r>
        <w:rPr>
          <w:rFonts w:hint="eastAsia" w:ascii="宋体" w:hAnsi="宋体"/>
          <w:b/>
          <w:sz w:val="32"/>
          <w:highlight w:val="none"/>
          <w:lang w:eastAsia="zh-CN"/>
        </w:rPr>
        <w:t>类似项目业绩情况表</w:t>
      </w:r>
    </w:p>
    <w:p>
      <w:pPr>
        <w:snapToGrid w:val="0"/>
        <w:spacing w:after="240" w:line="450" w:lineRule="atLeast"/>
        <w:jc w:val="center"/>
        <w:rPr>
          <w:rFonts w:ascii="宋体" w:hAnsi="宋体"/>
          <w:b/>
          <w:highlight w:val="none"/>
        </w:rPr>
      </w:pPr>
      <w:r>
        <w:rPr>
          <w:rFonts w:hint="eastAsia" w:ascii="宋体" w:hAnsi="宋体"/>
          <w:b/>
          <w:highlight w:val="none"/>
        </w:rPr>
        <w:t>（附合同复印件）</w:t>
      </w:r>
    </w:p>
    <w:tbl>
      <w:tblPr>
        <w:tblStyle w:val="47"/>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9"/>
        <w:gridCol w:w="2141"/>
        <w:gridCol w:w="2141"/>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9" w:type="dxa"/>
            <w:vAlign w:val="center"/>
          </w:tcPr>
          <w:p>
            <w:pPr>
              <w:snapToGrid w:val="0"/>
              <w:jc w:val="center"/>
              <w:rPr>
                <w:rFonts w:ascii="宋体" w:hAnsi="宋体"/>
                <w:sz w:val="21"/>
                <w:highlight w:val="none"/>
              </w:rPr>
            </w:pPr>
            <w:r>
              <w:rPr>
                <w:rFonts w:hint="eastAsia" w:ascii="宋体" w:hAnsi="宋体"/>
                <w:sz w:val="21"/>
                <w:highlight w:val="none"/>
              </w:rPr>
              <w:t>项目序号</w:t>
            </w:r>
          </w:p>
        </w:tc>
        <w:tc>
          <w:tcPr>
            <w:tcW w:w="2141" w:type="dxa"/>
            <w:vAlign w:val="center"/>
          </w:tcPr>
          <w:p>
            <w:pPr>
              <w:snapToGrid w:val="0"/>
              <w:jc w:val="center"/>
              <w:rPr>
                <w:rFonts w:ascii="宋体" w:hAnsi="宋体"/>
                <w:sz w:val="21"/>
                <w:highlight w:val="none"/>
              </w:rPr>
            </w:pPr>
            <w:r>
              <w:rPr>
                <w:rFonts w:ascii="宋体" w:hAnsi="宋体"/>
                <w:sz w:val="21"/>
                <w:highlight w:val="none"/>
              </w:rPr>
              <w:t>1</w:t>
            </w:r>
          </w:p>
        </w:tc>
        <w:tc>
          <w:tcPr>
            <w:tcW w:w="2141" w:type="dxa"/>
            <w:vAlign w:val="center"/>
          </w:tcPr>
          <w:p>
            <w:pPr>
              <w:snapToGrid w:val="0"/>
              <w:jc w:val="center"/>
              <w:rPr>
                <w:rFonts w:ascii="宋体" w:hAnsi="宋体"/>
                <w:sz w:val="21"/>
                <w:highlight w:val="none"/>
              </w:rPr>
            </w:pPr>
            <w:r>
              <w:rPr>
                <w:rFonts w:ascii="宋体" w:hAnsi="宋体"/>
                <w:sz w:val="21"/>
                <w:highlight w:val="none"/>
              </w:rPr>
              <w:t>2</w:t>
            </w:r>
          </w:p>
        </w:tc>
        <w:tc>
          <w:tcPr>
            <w:tcW w:w="2141" w:type="dxa"/>
            <w:vAlign w:val="center"/>
          </w:tcPr>
          <w:p>
            <w:pPr>
              <w:snapToGrid w:val="0"/>
              <w:jc w:val="center"/>
              <w:rPr>
                <w:rFonts w:ascii="宋体" w:hAnsi="宋体"/>
                <w:sz w:val="21"/>
                <w:highlight w:val="none"/>
              </w:rPr>
            </w:pPr>
            <w:r>
              <w:rPr>
                <w:rFonts w:ascii="宋体" w:hAnsi="宋体"/>
                <w:sz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9" w:type="dxa"/>
            <w:vAlign w:val="center"/>
          </w:tcPr>
          <w:p>
            <w:pPr>
              <w:snapToGrid w:val="0"/>
              <w:jc w:val="center"/>
              <w:rPr>
                <w:rFonts w:ascii="宋体" w:hAnsi="宋体"/>
                <w:sz w:val="21"/>
                <w:highlight w:val="none"/>
              </w:rPr>
            </w:pPr>
            <w:r>
              <w:rPr>
                <w:rFonts w:hint="eastAsia" w:ascii="宋体" w:hAnsi="宋体"/>
                <w:sz w:val="21"/>
                <w:highlight w:val="none"/>
              </w:rPr>
              <w:t>项目名称</w:t>
            </w:r>
          </w:p>
        </w:tc>
        <w:tc>
          <w:tcPr>
            <w:tcW w:w="2141" w:type="dxa"/>
          </w:tcPr>
          <w:p>
            <w:pPr>
              <w:snapToGrid w:val="0"/>
              <w:rPr>
                <w:rFonts w:ascii="宋体" w:hAnsi="宋体"/>
                <w:sz w:val="21"/>
                <w:highlight w:val="none"/>
              </w:rPr>
            </w:pPr>
          </w:p>
        </w:tc>
        <w:tc>
          <w:tcPr>
            <w:tcW w:w="2141" w:type="dxa"/>
          </w:tcPr>
          <w:p>
            <w:pPr>
              <w:snapToGrid w:val="0"/>
              <w:rPr>
                <w:rFonts w:ascii="宋体" w:hAnsi="宋体"/>
                <w:sz w:val="21"/>
                <w:highlight w:val="none"/>
              </w:rPr>
            </w:pPr>
          </w:p>
        </w:tc>
        <w:tc>
          <w:tcPr>
            <w:tcW w:w="2141" w:type="dxa"/>
          </w:tcPr>
          <w:p>
            <w:pPr>
              <w:snapToGrid w:val="0"/>
              <w:rPr>
                <w:rFonts w:ascii="宋体" w:hAnsi="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9" w:type="dxa"/>
            <w:vAlign w:val="center"/>
          </w:tcPr>
          <w:p>
            <w:pPr>
              <w:snapToGrid w:val="0"/>
              <w:jc w:val="center"/>
              <w:rPr>
                <w:rFonts w:ascii="宋体" w:hAnsi="宋体"/>
                <w:sz w:val="21"/>
                <w:highlight w:val="none"/>
              </w:rPr>
            </w:pPr>
            <w:r>
              <w:rPr>
                <w:rFonts w:hint="eastAsia" w:ascii="宋体" w:hAnsi="宋体"/>
                <w:sz w:val="21"/>
                <w:highlight w:val="none"/>
              </w:rPr>
              <w:t>项目所在地</w:t>
            </w:r>
          </w:p>
        </w:tc>
        <w:tc>
          <w:tcPr>
            <w:tcW w:w="2141" w:type="dxa"/>
          </w:tcPr>
          <w:p>
            <w:pPr>
              <w:snapToGrid w:val="0"/>
              <w:rPr>
                <w:rFonts w:ascii="宋体" w:hAnsi="宋体"/>
                <w:sz w:val="21"/>
                <w:highlight w:val="none"/>
              </w:rPr>
            </w:pPr>
          </w:p>
        </w:tc>
        <w:tc>
          <w:tcPr>
            <w:tcW w:w="2141" w:type="dxa"/>
          </w:tcPr>
          <w:p>
            <w:pPr>
              <w:snapToGrid w:val="0"/>
              <w:rPr>
                <w:rFonts w:ascii="宋体" w:hAnsi="宋体"/>
                <w:sz w:val="21"/>
                <w:highlight w:val="none"/>
              </w:rPr>
            </w:pPr>
          </w:p>
        </w:tc>
        <w:tc>
          <w:tcPr>
            <w:tcW w:w="2141" w:type="dxa"/>
          </w:tcPr>
          <w:p>
            <w:pPr>
              <w:snapToGrid w:val="0"/>
              <w:rPr>
                <w:rFonts w:ascii="宋体" w:hAnsi="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9" w:type="dxa"/>
            <w:vAlign w:val="center"/>
          </w:tcPr>
          <w:p>
            <w:pPr>
              <w:snapToGrid w:val="0"/>
              <w:jc w:val="center"/>
              <w:rPr>
                <w:rFonts w:ascii="宋体" w:hAnsi="宋体"/>
                <w:sz w:val="21"/>
                <w:highlight w:val="none"/>
              </w:rPr>
            </w:pPr>
            <w:r>
              <w:rPr>
                <w:rFonts w:hint="eastAsia" w:ascii="宋体" w:hAnsi="宋体"/>
                <w:sz w:val="21"/>
                <w:highlight w:val="none"/>
              </w:rPr>
              <w:t>项目采购单位名称</w:t>
            </w:r>
          </w:p>
        </w:tc>
        <w:tc>
          <w:tcPr>
            <w:tcW w:w="2141" w:type="dxa"/>
          </w:tcPr>
          <w:p>
            <w:pPr>
              <w:snapToGrid w:val="0"/>
              <w:rPr>
                <w:rFonts w:ascii="宋体" w:hAnsi="宋体"/>
                <w:sz w:val="21"/>
                <w:highlight w:val="none"/>
              </w:rPr>
            </w:pPr>
          </w:p>
        </w:tc>
        <w:tc>
          <w:tcPr>
            <w:tcW w:w="2141" w:type="dxa"/>
          </w:tcPr>
          <w:p>
            <w:pPr>
              <w:snapToGrid w:val="0"/>
              <w:rPr>
                <w:rFonts w:ascii="宋体" w:hAnsi="宋体"/>
                <w:sz w:val="21"/>
                <w:highlight w:val="none"/>
              </w:rPr>
            </w:pPr>
          </w:p>
        </w:tc>
        <w:tc>
          <w:tcPr>
            <w:tcW w:w="2141" w:type="dxa"/>
          </w:tcPr>
          <w:p>
            <w:pPr>
              <w:snapToGrid w:val="0"/>
              <w:rPr>
                <w:rFonts w:ascii="宋体" w:hAnsi="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9" w:type="dxa"/>
            <w:vAlign w:val="center"/>
          </w:tcPr>
          <w:p>
            <w:pPr>
              <w:snapToGrid w:val="0"/>
              <w:jc w:val="center"/>
              <w:rPr>
                <w:rFonts w:ascii="宋体" w:hAnsi="宋体"/>
                <w:sz w:val="21"/>
                <w:highlight w:val="none"/>
              </w:rPr>
            </w:pPr>
            <w:r>
              <w:rPr>
                <w:rFonts w:hint="eastAsia" w:ascii="宋体" w:hAnsi="宋体"/>
                <w:sz w:val="21"/>
                <w:highlight w:val="none"/>
              </w:rPr>
              <w:t>项目采购单位地址</w:t>
            </w:r>
          </w:p>
        </w:tc>
        <w:tc>
          <w:tcPr>
            <w:tcW w:w="2141" w:type="dxa"/>
          </w:tcPr>
          <w:p>
            <w:pPr>
              <w:snapToGrid w:val="0"/>
              <w:rPr>
                <w:rFonts w:ascii="宋体" w:hAnsi="宋体"/>
                <w:sz w:val="21"/>
                <w:highlight w:val="none"/>
              </w:rPr>
            </w:pPr>
          </w:p>
        </w:tc>
        <w:tc>
          <w:tcPr>
            <w:tcW w:w="2141" w:type="dxa"/>
          </w:tcPr>
          <w:p>
            <w:pPr>
              <w:snapToGrid w:val="0"/>
              <w:rPr>
                <w:rFonts w:ascii="宋体" w:hAnsi="宋体"/>
                <w:sz w:val="21"/>
                <w:highlight w:val="none"/>
              </w:rPr>
            </w:pPr>
          </w:p>
        </w:tc>
        <w:tc>
          <w:tcPr>
            <w:tcW w:w="2141" w:type="dxa"/>
          </w:tcPr>
          <w:p>
            <w:pPr>
              <w:snapToGrid w:val="0"/>
              <w:rPr>
                <w:rFonts w:ascii="宋体" w:hAnsi="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9" w:type="dxa"/>
            <w:vAlign w:val="center"/>
          </w:tcPr>
          <w:p>
            <w:pPr>
              <w:snapToGrid w:val="0"/>
              <w:spacing w:line="240" w:lineRule="exact"/>
              <w:jc w:val="center"/>
              <w:rPr>
                <w:rFonts w:ascii="宋体" w:hAnsi="宋体"/>
                <w:sz w:val="21"/>
                <w:highlight w:val="none"/>
              </w:rPr>
            </w:pPr>
            <w:r>
              <w:rPr>
                <w:rFonts w:hint="eastAsia" w:ascii="宋体" w:hAnsi="宋体"/>
                <w:sz w:val="21"/>
                <w:highlight w:val="none"/>
              </w:rPr>
              <w:t>项目采购单位</w:t>
            </w:r>
          </w:p>
          <w:p>
            <w:pPr>
              <w:snapToGrid w:val="0"/>
              <w:spacing w:line="240" w:lineRule="exact"/>
              <w:jc w:val="center"/>
              <w:rPr>
                <w:rFonts w:ascii="宋体" w:hAnsi="宋体"/>
                <w:sz w:val="21"/>
                <w:highlight w:val="none"/>
              </w:rPr>
            </w:pPr>
            <w:r>
              <w:rPr>
                <w:rFonts w:hint="eastAsia" w:ascii="宋体" w:hAnsi="宋体"/>
                <w:sz w:val="21"/>
                <w:highlight w:val="none"/>
              </w:rPr>
              <w:t>联系人姓名、电话</w:t>
            </w:r>
          </w:p>
        </w:tc>
        <w:tc>
          <w:tcPr>
            <w:tcW w:w="2141" w:type="dxa"/>
          </w:tcPr>
          <w:p>
            <w:pPr>
              <w:snapToGrid w:val="0"/>
              <w:rPr>
                <w:rFonts w:ascii="宋体" w:hAnsi="宋体"/>
                <w:sz w:val="21"/>
                <w:highlight w:val="none"/>
              </w:rPr>
            </w:pPr>
          </w:p>
        </w:tc>
        <w:tc>
          <w:tcPr>
            <w:tcW w:w="2141" w:type="dxa"/>
          </w:tcPr>
          <w:p>
            <w:pPr>
              <w:snapToGrid w:val="0"/>
              <w:rPr>
                <w:rFonts w:ascii="宋体" w:hAnsi="宋体"/>
                <w:sz w:val="21"/>
                <w:highlight w:val="none"/>
              </w:rPr>
            </w:pPr>
          </w:p>
        </w:tc>
        <w:tc>
          <w:tcPr>
            <w:tcW w:w="2141" w:type="dxa"/>
          </w:tcPr>
          <w:p>
            <w:pPr>
              <w:snapToGrid w:val="0"/>
              <w:rPr>
                <w:rFonts w:ascii="宋体" w:hAnsi="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9" w:type="dxa"/>
            <w:vAlign w:val="center"/>
          </w:tcPr>
          <w:p>
            <w:pPr>
              <w:snapToGrid w:val="0"/>
              <w:jc w:val="center"/>
              <w:rPr>
                <w:rFonts w:ascii="宋体" w:hAnsi="宋体"/>
                <w:sz w:val="21"/>
                <w:highlight w:val="none"/>
              </w:rPr>
            </w:pPr>
            <w:r>
              <w:rPr>
                <w:rFonts w:hint="eastAsia" w:ascii="宋体" w:hAnsi="宋体"/>
                <w:sz w:val="21"/>
                <w:highlight w:val="none"/>
              </w:rPr>
              <w:t>合同价格</w:t>
            </w:r>
          </w:p>
        </w:tc>
        <w:tc>
          <w:tcPr>
            <w:tcW w:w="2141" w:type="dxa"/>
          </w:tcPr>
          <w:p>
            <w:pPr>
              <w:snapToGrid w:val="0"/>
              <w:rPr>
                <w:rFonts w:ascii="宋体" w:hAnsi="宋体"/>
                <w:sz w:val="21"/>
                <w:highlight w:val="none"/>
              </w:rPr>
            </w:pPr>
          </w:p>
        </w:tc>
        <w:tc>
          <w:tcPr>
            <w:tcW w:w="2141" w:type="dxa"/>
          </w:tcPr>
          <w:p>
            <w:pPr>
              <w:snapToGrid w:val="0"/>
              <w:rPr>
                <w:rFonts w:ascii="宋体" w:hAnsi="宋体"/>
                <w:sz w:val="21"/>
                <w:highlight w:val="none"/>
              </w:rPr>
            </w:pPr>
          </w:p>
        </w:tc>
        <w:tc>
          <w:tcPr>
            <w:tcW w:w="2141" w:type="dxa"/>
          </w:tcPr>
          <w:p>
            <w:pPr>
              <w:snapToGrid w:val="0"/>
              <w:rPr>
                <w:rFonts w:ascii="宋体" w:hAnsi="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9" w:type="dxa"/>
            <w:vAlign w:val="center"/>
          </w:tcPr>
          <w:p>
            <w:pPr>
              <w:snapToGrid w:val="0"/>
              <w:jc w:val="center"/>
              <w:rPr>
                <w:rFonts w:ascii="宋体" w:hAnsi="宋体"/>
                <w:sz w:val="21"/>
                <w:highlight w:val="none"/>
              </w:rPr>
            </w:pPr>
            <w:r>
              <w:rPr>
                <w:rFonts w:hint="eastAsia" w:ascii="宋体" w:hAnsi="宋体"/>
                <w:sz w:val="21"/>
                <w:highlight w:val="none"/>
              </w:rPr>
              <w:t>采购日期</w:t>
            </w:r>
          </w:p>
        </w:tc>
        <w:tc>
          <w:tcPr>
            <w:tcW w:w="2141" w:type="dxa"/>
          </w:tcPr>
          <w:p>
            <w:pPr>
              <w:snapToGrid w:val="0"/>
              <w:rPr>
                <w:rFonts w:ascii="宋体" w:hAnsi="宋体"/>
                <w:sz w:val="21"/>
                <w:highlight w:val="none"/>
              </w:rPr>
            </w:pPr>
          </w:p>
        </w:tc>
        <w:tc>
          <w:tcPr>
            <w:tcW w:w="2141" w:type="dxa"/>
          </w:tcPr>
          <w:p>
            <w:pPr>
              <w:snapToGrid w:val="0"/>
              <w:rPr>
                <w:rFonts w:ascii="宋体" w:hAnsi="宋体"/>
                <w:sz w:val="21"/>
                <w:highlight w:val="none"/>
              </w:rPr>
            </w:pPr>
          </w:p>
        </w:tc>
        <w:tc>
          <w:tcPr>
            <w:tcW w:w="2141" w:type="dxa"/>
          </w:tcPr>
          <w:p>
            <w:pPr>
              <w:snapToGrid w:val="0"/>
              <w:rPr>
                <w:rFonts w:ascii="宋体" w:hAnsi="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9" w:type="dxa"/>
            <w:vAlign w:val="center"/>
          </w:tcPr>
          <w:p>
            <w:pPr>
              <w:snapToGrid w:val="0"/>
              <w:jc w:val="center"/>
              <w:rPr>
                <w:rFonts w:ascii="宋体" w:hAnsi="宋体"/>
                <w:sz w:val="21"/>
                <w:highlight w:val="none"/>
              </w:rPr>
            </w:pPr>
            <w:r>
              <w:rPr>
                <w:rFonts w:hint="eastAsia" w:ascii="宋体" w:hAnsi="宋体"/>
                <w:sz w:val="21"/>
                <w:highlight w:val="none"/>
              </w:rPr>
              <w:t>服务期</w:t>
            </w:r>
          </w:p>
        </w:tc>
        <w:tc>
          <w:tcPr>
            <w:tcW w:w="2141" w:type="dxa"/>
          </w:tcPr>
          <w:p>
            <w:pPr>
              <w:snapToGrid w:val="0"/>
              <w:rPr>
                <w:rFonts w:ascii="宋体" w:hAnsi="宋体"/>
                <w:sz w:val="21"/>
                <w:highlight w:val="none"/>
              </w:rPr>
            </w:pPr>
          </w:p>
        </w:tc>
        <w:tc>
          <w:tcPr>
            <w:tcW w:w="2141" w:type="dxa"/>
          </w:tcPr>
          <w:p>
            <w:pPr>
              <w:snapToGrid w:val="0"/>
              <w:rPr>
                <w:rFonts w:ascii="宋体" w:hAnsi="宋体"/>
                <w:sz w:val="21"/>
                <w:highlight w:val="none"/>
              </w:rPr>
            </w:pPr>
          </w:p>
        </w:tc>
        <w:tc>
          <w:tcPr>
            <w:tcW w:w="2141" w:type="dxa"/>
          </w:tcPr>
          <w:p>
            <w:pPr>
              <w:snapToGrid w:val="0"/>
              <w:rPr>
                <w:rFonts w:ascii="宋体" w:hAnsi="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9" w:type="dxa"/>
            <w:vAlign w:val="center"/>
          </w:tcPr>
          <w:p>
            <w:pPr>
              <w:snapToGrid w:val="0"/>
              <w:jc w:val="center"/>
              <w:rPr>
                <w:rFonts w:ascii="宋体" w:hAnsi="宋体"/>
                <w:sz w:val="21"/>
                <w:highlight w:val="none"/>
              </w:rPr>
            </w:pPr>
            <w:r>
              <w:rPr>
                <w:rFonts w:hint="eastAsia" w:ascii="宋体" w:hAnsi="宋体"/>
                <w:sz w:val="21"/>
                <w:highlight w:val="none"/>
              </w:rPr>
              <w:t>项目负责人</w:t>
            </w:r>
          </w:p>
        </w:tc>
        <w:tc>
          <w:tcPr>
            <w:tcW w:w="2141" w:type="dxa"/>
          </w:tcPr>
          <w:p>
            <w:pPr>
              <w:snapToGrid w:val="0"/>
              <w:rPr>
                <w:rFonts w:ascii="宋体" w:hAnsi="宋体"/>
                <w:sz w:val="21"/>
                <w:highlight w:val="none"/>
              </w:rPr>
            </w:pPr>
          </w:p>
        </w:tc>
        <w:tc>
          <w:tcPr>
            <w:tcW w:w="2141" w:type="dxa"/>
          </w:tcPr>
          <w:p>
            <w:pPr>
              <w:snapToGrid w:val="0"/>
              <w:rPr>
                <w:rFonts w:ascii="宋体" w:hAnsi="宋体"/>
                <w:sz w:val="21"/>
                <w:highlight w:val="none"/>
              </w:rPr>
            </w:pPr>
          </w:p>
        </w:tc>
        <w:tc>
          <w:tcPr>
            <w:tcW w:w="2141" w:type="dxa"/>
          </w:tcPr>
          <w:p>
            <w:pPr>
              <w:snapToGrid w:val="0"/>
              <w:rPr>
                <w:rFonts w:ascii="宋体" w:hAnsi="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9" w:type="dxa"/>
            <w:vAlign w:val="center"/>
          </w:tcPr>
          <w:p>
            <w:pPr>
              <w:snapToGrid w:val="0"/>
              <w:jc w:val="center"/>
              <w:rPr>
                <w:rFonts w:ascii="宋体" w:hAnsi="宋体"/>
                <w:sz w:val="21"/>
                <w:highlight w:val="none"/>
              </w:rPr>
            </w:pPr>
            <w:r>
              <w:rPr>
                <w:rFonts w:hint="eastAsia" w:ascii="宋体" w:hAnsi="宋体"/>
                <w:sz w:val="21"/>
                <w:highlight w:val="none"/>
              </w:rPr>
              <w:t>技术负责人</w:t>
            </w:r>
          </w:p>
        </w:tc>
        <w:tc>
          <w:tcPr>
            <w:tcW w:w="2141" w:type="dxa"/>
          </w:tcPr>
          <w:p>
            <w:pPr>
              <w:snapToGrid w:val="0"/>
              <w:rPr>
                <w:rFonts w:ascii="宋体" w:hAnsi="宋体"/>
                <w:sz w:val="21"/>
                <w:highlight w:val="none"/>
              </w:rPr>
            </w:pPr>
          </w:p>
        </w:tc>
        <w:tc>
          <w:tcPr>
            <w:tcW w:w="2141" w:type="dxa"/>
          </w:tcPr>
          <w:p>
            <w:pPr>
              <w:snapToGrid w:val="0"/>
              <w:rPr>
                <w:rFonts w:ascii="宋体" w:hAnsi="宋体"/>
                <w:sz w:val="21"/>
                <w:highlight w:val="none"/>
              </w:rPr>
            </w:pPr>
          </w:p>
        </w:tc>
        <w:tc>
          <w:tcPr>
            <w:tcW w:w="2141" w:type="dxa"/>
          </w:tcPr>
          <w:p>
            <w:pPr>
              <w:snapToGrid w:val="0"/>
              <w:rPr>
                <w:rFonts w:ascii="宋体" w:hAnsi="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9" w:type="dxa"/>
            <w:vAlign w:val="center"/>
          </w:tcPr>
          <w:p>
            <w:pPr>
              <w:snapToGrid w:val="0"/>
              <w:jc w:val="center"/>
              <w:rPr>
                <w:rFonts w:ascii="宋体" w:hAnsi="宋体"/>
                <w:sz w:val="21"/>
                <w:highlight w:val="none"/>
              </w:rPr>
            </w:pPr>
            <w:r>
              <w:rPr>
                <w:rFonts w:hint="eastAsia" w:ascii="宋体" w:hAnsi="宋体"/>
                <w:sz w:val="21"/>
                <w:highlight w:val="none"/>
              </w:rPr>
              <w:t>项目描述</w:t>
            </w:r>
          </w:p>
        </w:tc>
        <w:tc>
          <w:tcPr>
            <w:tcW w:w="2141" w:type="dxa"/>
          </w:tcPr>
          <w:p>
            <w:pPr>
              <w:snapToGrid w:val="0"/>
              <w:rPr>
                <w:rFonts w:ascii="宋体" w:hAnsi="宋体"/>
                <w:sz w:val="21"/>
                <w:highlight w:val="none"/>
              </w:rPr>
            </w:pPr>
          </w:p>
        </w:tc>
        <w:tc>
          <w:tcPr>
            <w:tcW w:w="2141" w:type="dxa"/>
          </w:tcPr>
          <w:p>
            <w:pPr>
              <w:snapToGrid w:val="0"/>
              <w:rPr>
                <w:rFonts w:ascii="宋体" w:hAnsi="宋体"/>
                <w:sz w:val="21"/>
                <w:highlight w:val="none"/>
              </w:rPr>
            </w:pPr>
          </w:p>
        </w:tc>
        <w:tc>
          <w:tcPr>
            <w:tcW w:w="2141" w:type="dxa"/>
          </w:tcPr>
          <w:p>
            <w:pPr>
              <w:snapToGrid w:val="0"/>
              <w:rPr>
                <w:rFonts w:ascii="宋体" w:hAnsi="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9" w:type="dxa"/>
            <w:vAlign w:val="center"/>
          </w:tcPr>
          <w:p>
            <w:pPr>
              <w:snapToGrid w:val="0"/>
              <w:jc w:val="center"/>
              <w:rPr>
                <w:rFonts w:ascii="宋体" w:hAnsi="宋体"/>
                <w:sz w:val="21"/>
                <w:highlight w:val="none"/>
              </w:rPr>
            </w:pPr>
            <w:r>
              <w:rPr>
                <w:rFonts w:hint="eastAsia" w:ascii="宋体" w:hAnsi="宋体"/>
                <w:sz w:val="21"/>
                <w:highlight w:val="none"/>
              </w:rPr>
              <w:t>备注（用户反映）</w:t>
            </w:r>
          </w:p>
        </w:tc>
        <w:tc>
          <w:tcPr>
            <w:tcW w:w="2141" w:type="dxa"/>
          </w:tcPr>
          <w:p>
            <w:pPr>
              <w:snapToGrid w:val="0"/>
              <w:rPr>
                <w:rFonts w:ascii="宋体" w:hAnsi="宋体"/>
                <w:sz w:val="21"/>
                <w:highlight w:val="none"/>
              </w:rPr>
            </w:pPr>
          </w:p>
        </w:tc>
        <w:tc>
          <w:tcPr>
            <w:tcW w:w="2141" w:type="dxa"/>
          </w:tcPr>
          <w:p>
            <w:pPr>
              <w:snapToGrid w:val="0"/>
              <w:rPr>
                <w:rFonts w:ascii="宋体" w:hAnsi="宋体"/>
                <w:sz w:val="21"/>
                <w:highlight w:val="none"/>
              </w:rPr>
            </w:pPr>
          </w:p>
        </w:tc>
        <w:tc>
          <w:tcPr>
            <w:tcW w:w="2141" w:type="dxa"/>
          </w:tcPr>
          <w:p>
            <w:pPr>
              <w:snapToGrid w:val="0"/>
              <w:rPr>
                <w:rFonts w:ascii="宋体" w:hAnsi="宋体"/>
                <w:sz w:val="21"/>
                <w:highlight w:val="none"/>
              </w:rPr>
            </w:pPr>
          </w:p>
        </w:tc>
      </w:tr>
    </w:tbl>
    <w:p>
      <w:pPr>
        <w:adjustRightInd w:val="0"/>
        <w:snapToGrid w:val="0"/>
        <w:spacing w:line="360" w:lineRule="auto"/>
        <w:rPr>
          <w:rFonts w:ascii="宋体" w:hAnsi="宋体"/>
          <w:sz w:val="21"/>
          <w:highlight w:val="none"/>
        </w:rPr>
      </w:pPr>
    </w:p>
    <w:p>
      <w:pPr>
        <w:adjustRightInd w:val="0"/>
        <w:snapToGrid w:val="0"/>
        <w:spacing w:line="360" w:lineRule="auto"/>
        <w:rPr>
          <w:rFonts w:ascii="宋体" w:hAnsi="宋体"/>
          <w:sz w:val="21"/>
          <w:highlight w:val="none"/>
        </w:rPr>
      </w:pPr>
      <w:r>
        <w:rPr>
          <w:rFonts w:hint="eastAsia" w:ascii="宋体" w:hAnsi="宋体"/>
          <w:sz w:val="21"/>
          <w:highlight w:val="none"/>
        </w:rPr>
        <w:t>注：各单位可根据各自的项目数量，调整表单的列数。</w:t>
      </w:r>
    </w:p>
    <w:p>
      <w:pPr>
        <w:adjustRightInd w:val="0"/>
        <w:snapToGrid w:val="0"/>
        <w:spacing w:line="360" w:lineRule="auto"/>
        <w:rPr>
          <w:rFonts w:ascii="宋体" w:hAnsi="宋体"/>
          <w:sz w:val="21"/>
          <w:highlight w:val="none"/>
        </w:rPr>
      </w:pPr>
    </w:p>
    <w:p>
      <w:pPr>
        <w:adjustRightInd w:val="0"/>
        <w:snapToGrid w:val="0"/>
        <w:spacing w:line="360" w:lineRule="auto"/>
        <w:rPr>
          <w:rFonts w:ascii="宋体" w:hAnsi="宋体"/>
          <w:sz w:val="21"/>
          <w:highlight w:val="none"/>
          <w:u w:val="single"/>
        </w:rPr>
      </w:pPr>
      <w:r>
        <w:rPr>
          <w:rFonts w:hint="eastAsia" w:ascii="宋体" w:hAnsi="宋体"/>
          <w:sz w:val="21"/>
          <w:highlight w:val="none"/>
        </w:rPr>
        <w:t>响应供应商授权代表签字：</w:t>
      </w:r>
      <w:r>
        <w:rPr>
          <w:rFonts w:ascii="宋体" w:hAnsi="宋体"/>
          <w:sz w:val="21"/>
          <w:highlight w:val="none"/>
          <w:u w:val="single"/>
        </w:rPr>
        <w:t xml:space="preserve">                        </w:t>
      </w:r>
    </w:p>
    <w:p>
      <w:pPr>
        <w:spacing w:line="360" w:lineRule="auto"/>
        <w:rPr>
          <w:rFonts w:ascii="宋体" w:hAnsi="宋体"/>
          <w:sz w:val="21"/>
          <w:highlight w:val="none"/>
        </w:rPr>
      </w:pPr>
      <w:r>
        <w:rPr>
          <w:rFonts w:hint="eastAsia" w:ascii="宋体" w:hAnsi="宋体"/>
          <w:sz w:val="21"/>
          <w:highlight w:val="none"/>
        </w:rPr>
        <w:t>（加盖响应供应商公章）</w:t>
      </w:r>
    </w:p>
    <w:p>
      <w:pPr>
        <w:spacing w:line="360" w:lineRule="auto"/>
        <w:rPr>
          <w:rFonts w:ascii="宋体" w:hAnsi="宋体"/>
          <w:sz w:val="21"/>
          <w:highlight w:val="none"/>
        </w:rPr>
      </w:pPr>
      <w:r>
        <w:rPr>
          <w:rFonts w:hint="eastAsia" w:ascii="宋体" w:hAnsi="宋体"/>
          <w:sz w:val="21"/>
          <w:highlight w:val="none"/>
        </w:rPr>
        <w:t>日期：</w:t>
      </w:r>
      <w:r>
        <w:rPr>
          <w:rFonts w:ascii="宋体" w:hAnsi="宋体"/>
          <w:sz w:val="21"/>
          <w:highlight w:val="none"/>
          <w:u w:val="single"/>
        </w:rPr>
        <w:t xml:space="preserve">                        </w:t>
      </w:r>
    </w:p>
    <w:p>
      <w:pPr>
        <w:adjustRightInd w:val="0"/>
        <w:snapToGrid w:val="0"/>
        <w:spacing w:line="360" w:lineRule="auto"/>
        <w:rPr>
          <w:rFonts w:hint="eastAsia" w:ascii="宋体" w:hAnsi="宋体" w:eastAsia="宋体"/>
          <w:b/>
          <w:szCs w:val="24"/>
          <w:highlight w:val="none"/>
          <w:lang w:val="en-US" w:eastAsia="zh-CN"/>
        </w:rPr>
      </w:pPr>
      <w:r>
        <w:rPr>
          <w:rFonts w:ascii="宋体" w:hAnsi="宋体"/>
          <w:highlight w:val="none"/>
        </w:rPr>
        <w:br w:type="page"/>
      </w:r>
      <w:r>
        <w:rPr>
          <w:rFonts w:hint="eastAsia" w:ascii="宋体" w:hAnsi="宋体"/>
          <w:b/>
          <w:szCs w:val="24"/>
          <w:highlight w:val="none"/>
        </w:rPr>
        <w:t>附件</w:t>
      </w:r>
      <w:r>
        <w:rPr>
          <w:rFonts w:hint="eastAsia" w:ascii="宋体" w:hAnsi="宋体"/>
          <w:b/>
          <w:szCs w:val="24"/>
          <w:highlight w:val="none"/>
          <w:lang w:val="en-US" w:eastAsia="zh-CN"/>
        </w:rPr>
        <w:t>8</w:t>
      </w:r>
    </w:p>
    <w:p>
      <w:pPr>
        <w:adjustRightInd w:val="0"/>
        <w:snapToGrid w:val="0"/>
        <w:spacing w:after="163" w:afterLines="50" w:line="360" w:lineRule="auto"/>
        <w:jc w:val="center"/>
        <w:rPr>
          <w:rFonts w:ascii="宋体" w:hAnsi="宋体"/>
          <w:b/>
          <w:sz w:val="32"/>
          <w:highlight w:val="none"/>
        </w:rPr>
      </w:pPr>
      <w:r>
        <w:rPr>
          <w:rFonts w:hint="eastAsia" w:ascii="宋体" w:hAnsi="宋体"/>
          <w:b/>
          <w:sz w:val="32"/>
          <w:highlight w:val="none"/>
        </w:rPr>
        <w:t>响应供应商基本情况表</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885"/>
        <w:gridCol w:w="1124"/>
        <w:gridCol w:w="1060"/>
        <w:gridCol w:w="1086"/>
        <w:gridCol w:w="1174"/>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3" w:type="dxa"/>
            <w:vAlign w:val="center"/>
          </w:tcPr>
          <w:p>
            <w:pPr>
              <w:snapToGrid w:val="0"/>
              <w:jc w:val="center"/>
              <w:rPr>
                <w:rFonts w:ascii="宋体" w:hAnsi="宋体"/>
                <w:sz w:val="21"/>
                <w:highlight w:val="none"/>
              </w:rPr>
            </w:pPr>
            <w:r>
              <w:rPr>
                <w:rFonts w:hint="eastAsia" w:ascii="宋体" w:hAnsi="宋体"/>
                <w:sz w:val="21"/>
                <w:highlight w:val="none"/>
              </w:rPr>
              <w:t>响应供应商名称</w:t>
            </w:r>
          </w:p>
        </w:tc>
        <w:tc>
          <w:tcPr>
            <w:tcW w:w="6779" w:type="dxa"/>
            <w:gridSpan w:val="6"/>
            <w:vAlign w:val="center"/>
          </w:tcPr>
          <w:p>
            <w:pPr>
              <w:snapToGrid w:val="0"/>
              <w:jc w:val="center"/>
              <w:rPr>
                <w:rFonts w:ascii="宋体" w:hAnsi="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3" w:type="dxa"/>
            <w:vAlign w:val="center"/>
          </w:tcPr>
          <w:p>
            <w:pPr>
              <w:snapToGrid w:val="0"/>
              <w:jc w:val="center"/>
              <w:rPr>
                <w:rFonts w:ascii="宋体" w:hAnsi="宋体"/>
                <w:sz w:val="21"/>
                <w:highlight w:val="none"/>
              </w:rPr>
            </w:pPr>
            <w:r>
              <w:rPr>
                <w:rFonts w:hint="eastAsia" w:ascii="宋体" w:hAnsi="宋体"/>
                <w:sz w:val="21"/>
                <w:highlight w:val="none"/>
              </w:rPr>
              <w:t>注册地址</w:t>
            </w:r>
          </w:p>
        </w:tc>
        <w:tc>
          <w:tcPr>
            <w:tcW w:w="3069" w:type="dxa"/>
            <w:gridSpan w:val="3"/>
            <w:vAlign w:val="center"/>
          </w:tcPr>
          <w:p>
            <w:pPr>
              <w:snapToGrid w:val="0"/>
              <w:jc w:val="center"/>
              <w:rPr>
                <w:rFonts w:ascii="宋体" w:hAnsi="宋体"/>
                <w:sz w:val="21"/>
                <w:highlight w:val="none"/>
              </w:rPr>
            </w:pPr>
          </w:p>
        </w:tc>
        <w:tc>
          <w:tcPr>
            <w:tcW w:w="1086" w:type="dxa"/>
            <w:vAlign w:val="center"/>
          </w:tcPr>
          <w:p>
            <w:pPr>
              <w:snapToGrid w:val="0"/>
              <w:jc w:val="center"/>
              <w:rPr>
                <w:rFonts w:ascii="宋体" w:hAnsi="宋体"/>
                <w:sz w:val="21"/>
                <w:highlight w:val="none"/>
              </w:rPr>
            </w:pPr>
            <w:r>
              <w:rPr>
                <w:rFonts w:hint="eastAsia" w:ascii="宋体" w:hAnsi="宋体"/>
                <w:sz w:val="21"/>
                <w:highlight w:val="none"/>
              </w:rPr>
              <w:t>邮政编码</w:t>
            </w:r>
          </w:p>
        </w:tc>
        <w:tc>
          <w:tcPr>
            <w:tcW w:w="2624" w:type="dxa"/>
            <w:gridSpan w:val="2"/>
            <w:vAlign w:val="center"/>
          </w:tcPr>
          <w:p>
            <w:pPr>
              <w:snapToGrid w:val="0"/>
              <w:jc w:val="center"/>
              <w:rPr>
                <w:rFonts w:ascii="宋体" w:hAnsi="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3" w:type="dxa"/>
            <w:vMerge w:val="restart"/>
            <w:vAlign w:val="center"/>
          </w:tcPr>
          <w:p>
            <w:pPr>
              <w:snapToGrid w:val="0"/>
              <w:jc w:val="center"/>
              <w:rPr>
                <w:rFonts w:ascii="宋体" w:hAnsi="宋体"/>
                <w:sz w:val="21"/>
                <w:highlight w:val="none"/>
              </w:rPr>
            </w:pPr>
            <w:r>
              <w:rPr>
                <w:rFonts w:hint="eastAsia" w:ascii="宋体" w:hAnsi="宋体"/>
                <w:sz w:val="21"/>
                <w:highlight w:val="none"/>
              </w:rPr>
              <w:t>联系方式</w:t>
            </w:r>
          </w:p>
        </w:tc>
        <w:tc>
          <w:tcPr>
            <w:tcW w:w="885" w:type="dxa"/>
            <w:vAlign w:val="center"/>
          </w:tcPr>
          <w:p>
            <w:pPr>
              <w:snapToGrid w:val="0"/>
              <w:jc w:val="center"/>
              <w:rPr>
                <w:rFonts w:ascii="宋体" w:hAnsi="宋体"/>
                <w:sz w:val="21"/>
                <w:highlight w:val="none"/>
              </w:rPr>
            </w:pPr>
            <w:r>
              <w:rPr>
                <w:rFonts w:hint="eastAsia" w:ascii="宋体" w:hAnsi="宋体"/>
                <w:sz w:val="21"/>
                <w:highlight w:val="none"/>
              </w:rPr>
              <w:t>联系人</w:t>
            </w:r>
          </w:p>
        </w:tc>
        <w:tc>
          <w:tcPr>
            <w:tcW w:w="2184" w:type="dxa"/>
            <w:gridSpan w:val="2"/>
            <w:vAlign w:val="center"/>
          </w:tcPr>
          <w:p>
            <w:pPr>
              <w:snapToGrid w:val="0"/>
              <w:jc w:val="center"/>
              <w:rPr>
                <w:rFonts w:ascii="宋体" w:hAnsi="宋体"/>
                <w:sz w:val="21"/>
                <w:highlight w:val="none"/>
              </w:rPr>
            </w:pPr>
          </w:p>
        </w:tc>
        <w:tc>
          <w:tcPr>
            <w:tcW w:w="1086" w:type="dxa"/>
            <w:vAlign w:val="center"/>
          </w:tcPr>
          <w:p>
            <w:pPr>
              <w:snapToGrid w:val="0"/>
              <w:jc w:val="center"/>
              <w:rPr>
                <w:rFonts w:ascii="宋体" w:hAnsi="宋体"/>
                <w:sz w:val="21"/>
                <w:highlight w:val="none"/>
              </w:rPr>
            </w:pPr>
            <w:r>
              <w:rPr>
                <w:rFonts w:hint="eastAsia" w:ascii="宋体" w:hAnsi="宋体"/>
                <w:sz w:val="21"/>
                <w:highlight w:val="none"/>
              </w:rPr>
              <w:t>电话</w:t>
            </w:r>
          </w:p>
        </w:tc>
        <w:tc>
          <w:tcPr>
            <w:tcW w:w="2624" w:type="dxa"/>
            <w:gridSpan w:val="2"/>
            <w:vAlign w:val="center"/>
          </w:tcPr>
          <w:p>
            <w:pPr>
              <w:snapToGrid w:val="0"/>
              <w:jc w:val="center"/>
              <w:rPr>
                <w:rFonts w:ascii="宋体" w:hAnsi="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3" w:type="dxa"/>
            <w:vMerge w:val="continue"/>
            <w:vAlign w:val="center"/>
          </w:tcPr>
          <w:p>
            <w:pPr>
              <w:snapToGrid w:val="0"/>
              <w:jc w:val="center"/>
              <w:rPr>
                <w:rFonts w:ascii="宋体" w:hAnsi="宋体"/>
                <w:sz w:val="21"/>
                <w:highlight w:val="none"/>
              </w:rPr>
            </w:pPr>
          </w:p>
        </w:tc>
        <w:tc>
          <w:tcPr>
            <w:tcW w:w="885" w:type="dxa"/>
            <w:vAlign w:val="center"/>
          </w:tcPr>
          <w:p>
            <w:pPr>
              <w:snapToGrid w:val="0"/>
              <w:jc w:val="center"/>
              <w:rPr>
                <w:rFonts w:ascii="宋体" w:hAnsi="宋体"/>
                <w:sz w:val="21"/>
                <w:highlight w:val="none"/>
              </w:rPr>
            </w:pPr>
            <w:r>
              <w:rPr>
                <w:rFonts w:hint="eastAsia" w:ascii="宋体" w:hAnsi="宋体"/>
                <w:sz w:val="21"/>
                <w:highlight w:val="none"/>
              </w:rPr>
              <w:t>传真</w:t>
            </w:r>
          </w:p>
        </w:tc>
        <w:tc>
          <w:tcPr>
            <w:tcW w:w="2184" w:type="dxa"/>
            <w:gridSpan w:val="2"/>
            <w:vAlign w:val="center"/>
          </w:tcPr>
          <w:p>
            <w:pPr>
              <w:snapToGrid w:val="0"/>
              <w:jc w:val="center"/>
              <w:rPr>
                <w:rFonts w:ascii="宋体" w:hAnsi="宋体"/>
                <w:sz w:val="21"/>
                <w:highlight w:val="none"/>
              </w:rPr>
            </w:pPr>
          </w:p>
        </w:tc>
        <w:tc>
          <w:tcPr>
            <w:tcW w:w="1086" w:type="dxa"/>
            <w:vAlign w:val="center"/>
          </w:tcPr>
          <w:p>
            <w:pPr>
              <w:snapToGrid w:val="0"/>
              <w:jc w:val="center"/>
              <w:rPr>
                <w:rFonts w:ascii="宋体" w:hAnsi="宋体"/>
                <w:sz w:val="21"/>
                <w:highlight w:val="none"/>
              </w:rPr>
            </w:pPr>
            <w:r>
              <w:rPr>
                <w:rFonts w:hint="eastAsia" w:ascii="宋体" w:hAnsi="宋体"/>
                <w:sz w:val="21"/>
                <w:highlight w:val="none"/>
              </w:rPr>
              <w:t>网址</w:t>
            </w:r>
          </w:p>
        </w:tc>
        <w:tc>
          <w:tcPr>
            <w:tcW w:w="2624" w:type="dxa"/>
            <w:gridSpan w:val="2"/>
            <w:vAlign w:val="center"/>
          </w:tcPr>
          <w:p>
            <w:pPr>
              <w:snapToGrid w:val="0"/>
              <w:jc w:val="center"/>
              <w:rPr>
                <w:rFonts w:ascii="宋体" w:hAnsi="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3" w:type="dxa"/>
            <w:vAlign w:val="center"/>
          </w:tcPr>
          <w:p>
            <w:pPr>
              <w:snapToGrid w:val="0"/>
              <w:jc w:val="center"/>
              <w:rPr>
                <w:rFonts w:ascii="宋体" w:hAnsi="宋体"/>
                <w:sz w:val="21"/>
                <w:highlight w:val="none"/>
              </w:rPr>
            </w:pPr>
            <w:r>
              <w:rPr>
                <w:rFonts w:hint="eastAsia" w:ascii="宋体" w:hAnsi="宋体"/>
                <w:sz w:val="21"/>
                <w:highlight w:val="none"/>
              </w:rPr>
              <w:t>法定代表人</w:t>
            </w:r>
          </w:p>
        </w:tc>
        <w:tc>
          <w:tcPr>
            <w:tcW w:w="885" w:type="dxa"/>
            <w:vAlign w:val="center"/>
          </w:tcPr>
          <w:p>
            <w:pPr>
              <w:snapToGrid w:val="0"/>
              <w:jc w:val="center"/>
              <w:rPr>
                <w:rFonts w:ascii="宋体" w:hAnsi="宋体"/>
                <w:sz w:val="21"/>
                <w:highlight w:val="none"/>
              </w:rPr>
            </w:pPr>
            <w:r>
              <w:rPr>
                <w:rFonts w:hint="eastAsia" w:ascii="宋体" w:hAnsi="宋体"/>
                <w:sz w:val="21"/>
                <w:highlight w:val="none"/>
              </w:rPr>
              <w:t>姓名</w:t>
            </w:r>
          </w:p>
        </w:tc>
        <w:tc>
          <w:tcPr>
            <w:tcW w:w="1124" w:type="dxa"/>
            <w:vAlign w:val="center"/>
          </w:tcPr>
          <w:p>
            <w:pPr>
              <w:snapToGrid w:val="0"/>
              <w:jc w:val="center"/>
              <w:rPr>
                <w:rFonts w:ascii="宋体" w:hAnsi="宋体"/>
                <w:sz w:val="21"/>
                <w:highlight w:val="none"/>
              </w:rPr>
            </w:pPr>
          </w:p>
        </w:tc>
        <w:tc>
          <w:tcPr>
            <w:tcW w:w="1060" w:type="dxa"/>
            <w:vAlign w:val="center"/>
          </w:tcPr>
          <w:p>
            <w:pPr>
              <w:snapToGrid w:val="0"/>
              <w:jc w:val="center"/>
              <w:rPr>
                <w:rFonts w:ascii="宋体" w:hAnsi="宋体"/>
                <w:sz w:val="21"/>
                <w:highlight w:val="none"/>
              </w:rPr>
            </w:pPr>
            <w:r>
              <w:rPr>
                <w:rFonts w:hint="eastAsia" w:ascii="宋体" w:hAnsi="宋体"/>
                <w:sz w:val="21"/>
                <w:highlight w:val="none"/>
              </w:rPr>
              <w:t>技术职称</w:t>
            </w:r>
          </w:p>
        </w:tc>
        <w:tc>
          <w:tcPr>
            <w:tcW w:w="1086" w:type="dxa"/>
          </w:tcPr>
          <w:p>
            <w:pPr>
              <w:snapToGrid w:val="0"/>
              <w:rPr>
                <w:rFonts w:ascii="宋体" w:hAnsi="宋体"/>
                <w:sz w:val="21"/>
                <w:highlight w:val="none"/>
              </w:rPr>
            </w:pPr>
          </w:p>
        </w:tc>
        <w:tc>
          <w:tcPr>
            <w:tcW w:w="1174" w:type="dxa"/>
            <w:vAlign w:val="center"/>
          </w:tcPr>
          <w:p>
            <w:pPr>
              <w:snapToGrid w:val="0"/>
              <w:jc w:val="center"/>
              <w:rPr>
                <w:rFonts w:ascii="宋体" w:hAnsi="宋体"/>
                <w:sz w:val="21"/>
                <w:highlight w:val="none"/>
              </w:rPr>
            </w:pPr>
            <w:r>
              <w:rPr>
                <w:rFonts w:hint="eastAsia" w:ascii="宋体" w:hAnsi="宋体"/>
                <w:sz w:val="21"/>
                <w:highlight w:val="none"/>
              </w:rPr>
              <w:t>电话</w:t>
            </w:r>
          </w:p>
        </w:tc>
        <w:tc>
          <w:tcPr>
            <w:tcW w:w="1450" w:type="dxa"/>
          </w:tcPr>
          <w:p>
            <w:pPr>
              <w:snapToGrid w:val="0"/>
              <w:rPr>
                <w:rFonts w:ascii="宋体" w:hAnsi="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3" w:type="dxa"/>
            <w:vAlign w:val="center"/>
          </w:tcPr>
          <w:p>
            <w:pPr>
              <w:snapToGrid w:val="0"/>
              <w:jc w:val="center"/>
              <w:rPr>
                <w:rFonts w:ascii="宋体" w:hAnsi="宋体"/>
                <w:sz w:val="21"/>
                <w:highlight w:val="none"/>
              </w:rPr>
            </w:pPr>
            <w:r>
              <w:rPr>
                <w:rFonts w:hint="eastAsia" w:ascii="宋体" w:hAnsi="宋体"/>
                <w:sz w:val="21"/>
                <w:highlight w:val="none"/>
              </w:rPr>
              <w:t>技术负责人</w:t>
            </w:r>
          </w:p>
        </w:tc>
        <w:tc>
          <w:tcPr>
            <w:tcW w:w="885" w:type="dxa"/>
            <w:vAlign w:val="center"/>
          </w:tcPr>
          <w:p>
            <w:pPr>
              <w:snapToGrid w:val="0"/>
              <w:jc w:val="center"/>
              <w:rPr>
                <w:rFonts w:ascii="宋体" w:hAnsi="宋体"/>
                <w:sz w:val="21"/>
                <w:highlight w:val="none"/>
              </w:rPr>
            </w:pPr>
            <w:r>
              <w:rPr>
                <w:rFonts w:hint="eastAsia" w:ascii="宋体" w:hAnsi="宋体"/>
                <w:sz w:val="21"/>
                <w:highlight w:val="none"/>
              </w:rPr>
              <w:t>姓名</w:t>
            </w:r>
          </w:p>
        </w:tc>
        <w:tc>
          <w:tcPr>
            <w:tcW w:w="1124" w:type="dxa"/>
            <w:vAlign w:val="center"/>
          </w:tcPr>
          <w:p>
            <w:pPr>
              <w:snapToGrid w:val="0"/>
              <w:jc w:val="center"/>
              <w:rPr>
                <w:rFonts w:ascii="宋体" w:hAnsi="宋体"/>
                <w:sz w:val="21"/>
                <w:highlight w:val="none"/>
              </w:rPr>
            </w:pPr>
          </w:p>
        </w:tc>
        <w:tc>
          <w:tcPr>
            <w:tcW w:w="1060" w:type="dxa"/>
            <w:vAlign w:val="center"/>
          </w:tcPr>
          <w:p>
            <w:pPr>
              <w:snapToGrid w:val="0"/>
              <w:jc w:val="center"/>
              <w:rPr>
                <w:rFonts w:ascii="宋体" w:hAnsi="宋体"/>
                <w:sz w:val="21"/>
                <w:highlight w:val="none"/>
              </w:rPr>
            </w:pPr>
            <w:r>
              <w:rPr>
                <w:rFonts w:hint="eastAsia" w:ascii="宋体" w:hAnsi="宋体"/>
                <w:sz w:val="21"/>
                <w:highlight w:val="none"/>
              </w:rPr>
              <w:t>技术职称</w:t>
            </w:r>
          </w:p>
        </w:tc>
        <w:tc>
          <w:tcPr>
            <w:tcW w:w="1086" w:type="dxa"/>
          </w:tcPr>
          <w:p>
            <w:pPr>
              <w:snapToGrid w:val="0"/>
              <w:rPr>
                <w:rFonts w:ascii="宋体" w:hAnsi="宋体"/>
                <w:sz w:val="21"/>
                <w:highlight w:val="none"/>
              </w:rPr>
            </w:pPr>
          </w:p>
        </w:tc>
        <w:tc>
          <w:tcPr>
            <w:tcW w:w="1174" w:type="dxa"/>
            <w:vAlign w:val="center"/>
          </w:tcPr>
          <w:p>
            <w:pPr>
              <w:snapToGrid w:val="0"/>
              <w:jc w:val="center"/>
              <w:rPr>
                <w:rFonts w:ascii="宋体" w:hAnsi="宋体"/>
                <w:sz w:val="21"/>
                <w:highlight w:val="none"/>
              </w:rPr>
            </w:pPr>
            <w:r>
              <w:rPr>
                <w:rFonts w:hint="eastAsia" w:ascii="宋体" w:hAnsi="宋体"/>
                <w:sz w:val="21"/>
                <w:highlight w:val="none"/>
              </w:rPr>
              <w:t>电话</w:t>
            </w:r>
          </w:p>
        </w:tc>
        <w:tc>
          <w:tcPr>
            <w:tcW w:w="1450" w:type="dxa"/>
          </w:tcPr>
          <w:p>
            <w:pPr>
              <w:snapToGrid w:val="0"/>
              <w:rPr>
                <w:rFonts w:ascii="宋体" w:hAnsi="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3" w:type="dxa"/>
            <w:vAlign w:val="center"/>
          </w:tcPr>
          <w:p>
            <w:pPr>
              <w:snapToGrid w:val="0"/>
              <w:jc w:val="center"/>
              <w:rPr>
                <w:rFonts w:ascii="宋体" w:hAnsi="宋体"/>
                <w:sz w:val="21"/>
                <w:highlight w:val="none"/>
              </w:rPr>
            </w:pPr>
            <w:r>
              <w:rPr>
                <w:rFonts w:hint="eastAsia" w:ascii="宋体" w:hAnsi="宋体"/>
                <w:sz w:val="21"/>
                <w:highlight w:val="none"/>
              </w:rPr>
              <w:t>成立时间</w:t>
            </w:r>
          </w:p>
        </w:tc>
        <w:tc>
          <w:tcPr>
            <w:tcW w:w="2009" w:type="dxa"/>
            <w:gridSpan w:val="2"/>
          </w:tcPr>
          <w:p>
            <w:pPr>
              <w:snapToGrid w:val="0"/>
              <w:rPr>
                <w:rFonts w:ascii="宋体" w:hAnsi="宋体"/>
                <w:sz w:val="21"/>
                <w:highlight w:val="none"/>
              </w:rPr>
            </w:pPr>
          </w:p>
        </w:tc>
        <w:tc>
          <w:tcPr>
            <w:tcW w:w="4770" w:type="dxa"/>
            <w:gridSpan w:val="4"/>
            <w:vAlign w:val="center"/>
          </w:tcPr>
          <w:p>
            <w:pPr>
              <w:snapToGrid w:val="0"/>
              <w:rPr>
                <w:rFonts w:ascii="宋体" w:hAnsi="宋体"/>
                <w:sz w:val="21"/>
                <w:highlight w:val="none"/>
              </w:rPr>
            </w:pPr>
            <w:r>
              <w:rPr>
                <w:rFonts w:hint="eastAsia" w:ascii="宋体" w:hAnsi="宋体"/>
                <w:sz w:val="21"/>
                <w:highlight w:val="none"/>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3" w:type="dxa"/>
            <w:vAlign w:val="center"/>
          </w:tcPr>
          <w:p>
            <w:pPr>
              <w:snapToGrid w:val="0"/>
              <w:jc w:val="center"/>
              <w:rPr>
                <w:rFonts w:ascii="宋体" w:hAnsi="宋体"/>
                <w:sz w:val="21"/>
                <w:highlight w:val="none"/>
              </w:rPr>
            </w:pPr>
            <w:r>
              <w:rPr>
                <w:rFonts w:hint="eastAsia" w:ascii="宋体" w:hAnsi="宋体"/>
                <w:sz w:val="21"/>
                <w:highlight w:val="none"/>
              </w:rPr>
              <w:t>资质等级</w:t>
            </w:r>
          </w:p>
        </w:tc>
        <w:tc>
          <w:tcPr>
            <w:tcW w:w="2009" w:type="dxa"/>
            <w:gridSpan w:val="2"/>
          </w:tcPr>
          <w:p>
            <w:pPr>
              <w:snapToGrid w:val="0"/>
              <w:rPr>
                <w:rFonts w:ascii="宋体" w:hAnsi="宋体"/>
                <w:sz w:val="21"/>
                <w:highlight w:val="none"/>
              </w:rPr>
            </w:pPr>
          </w:p>
        </w:tc>
        <w:tc>
          <w:tcPr>
            <w:tcW w:w="1060" w:type="dxa"/>
            <w:vMerge w:val="restart"/>
            <w:vAlign w:val="center"/>
          </w:tcPr>
          <w:p>
            <w:pPr>
              <w:snapToGrid w:val="0"/>
              <w:jc w:val="center"/>
              <w:rPr>
                <w:rFonts w:ascii="宋体" w:hAnsi="宋体"/>
                <w:sz w:val="21"/>
                <w:highlight w:val="none"/>
              </w:rPr>
            </w:pPr>
            <w:r>
              <w:rPr>
                <w:rFonts w:hint="eastAsia" w:ascii="宋体" w:hAnsi="宋体"/>
                <w:sz w:val="21"/>
                <w:highlight w:val="none"/>
              </w:rPr>
              <w:t>其中</w:t>
            </w:r>
          </w:p>
        </w:tc>
        <w:tc>
          <w:tcPr>
            <w:tcW w:w="2260" w:type="dxa"/>
            <w:gridSpan w:val="2"/>
            <w:vAlign w:val="center"/>
          </w:tcPr>
          <w:p>
            <w:pPr>
              <w:snapToGrid w:val="0"/>
              <w:jc w:val="center"/>
              <w:rPr>
                <w:rFonts w:ascii="宋体" w:hAnsi="宋体"/>
                <w:sz w:val="21"/>
                <w:highlight w:val="none"/>
              </w:rPr>
            </w:pPr>
            <w:r>
              <w:rPr>
                <w:rFonts w:hint="eastAsia" w:ascii="宋体" w:hAnsi="宋体"/>
                <w:sz w:val="21"/>
                <w:highlight w:val="none"/>
              </w:rPr>
              <w:t>项目负责人</w:t>
            </w:r>
          </w:p>
        </w:tc>
        <w:tc>
          <w:tcPr>
            <w:tcW w:w="1450" w:type="dxa"/>
          </w:tcPr>
          <w:p>
            <w:pPr>
              <w:snapToGrid w:val="0"/>
              <w:rPr>
                <w:rFonts w:ascii="宋体" w:hAnsi="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3" w:type="dxa"/>
            <w:vAlign w:val="center"/>
          </w:tcPr>
          <w:p>
            <w:pPr>
              <w:snapToGrid w:val="0"/>
              <w:jc w:val="center"/>
              <w:rPr>
                <w:rFonts w:ascii="宋体" w:hAnsi="宋体"/>
                <w:sz w:val="21"/>
                <w:highlight w:val="none"/>
              </w:rPr>
            </w:pPr>
            <w:r>
              <w:rPr>
                <w:rFonts w:hint="eastAsia" w:ascii="宋体" w:hAnsi="宋体"/>
                <w:sz w:val="21"/>
                <w:highlight w:val="none"/>
              </w:rPr>
              <w:t>营业执照号</w:t>
            </w:r>
          </w:p>
        </w:tc>
        <w:tc>
          <w:tcPr>
            <w:tcW w:w="2009" w:type="dxa"/>
            <w:gridSpan w:val="2"/>
          </w:tcPr>
          <w:p>
            <w:pPr>
              <w:snapToGrid w:val="0"/>
              <w:rPr>
                <w:rFonts w:ascii="宋体" w:hAnsi="宋体"/>
                <w:sz w:val="21"/>
                <w:highlight w:val="none"/>
              </w:rPr>
            </w:pPr>
          </w:p>
        </w:tc>
        <w:tc>
          <w:tcPr>
            <w:tcW w:w="1060" w:type="dxa"/>
            <w:vMerge w:val="continue"/>
          </w:tcPr>
          <w:p>
            <w:pPr>
              <w:snapToGrid w:val="0"/>
              <w:rPr>
                <w:rFonts w:ascii="宋体" w:hAnsi="宋体"/>
                <w:sz w:val="21"/>
                <w:highlight w:val="none"/>
              </w:rPr>
            </w:pPr>
          </w:p>
        </w:tc>
        <w:tc>
          <w:tcPr>
            <w:tcW w:w="2260" w:type="dxa"/>
            <w:gridSpan w:val="2"/>
            <w:vAlign w:val="center"/>
          </w:tcPr>
          <w:p>
            <w:pPr>
              <w:snapToGrid w:val="0"/>
              <w:jc w:val="center"/>
              <w:rPr>
                <w:rFonts w:ascii="宋体" w:hAnsi="宋体"/>
                <w:sz w:val="21"/>
                <w:highlight w:val="none"/>
              </w:rPr>
            </w:pPr>
            <w:r>
              <w:rPr>
                <w:rFonts w:hint="eastAsia" w:ascii="宋体" w:hAnsi="宋体"/>
                <w:sz w:val="21"/>
                <w:highlight w:val="none"/>
              </w:rPr>
              <w:t>高级职称人员</w:t>
            </w:r>
          </w:p>
        </w:tc>
        <w:tc>
          <w:tcPr>
            <w:tcW w:w="1450" w:type="dxa"/>
          </w:tcPr>
          <w:p>
            <w:pPr>
              <w:snapToGrid w:val="0"/>
              <w:rPr>
                <w:rFonts w:ascii="宋体" w:hAnsi="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3" w:type="dxa"/>
            <w:vAlign w:val="center"/>
          </w:tcPr>
          <w:p>
            <w:pPr>
              <w:snapToGrid w:val="0"/>
              <w:jc w:val="center"/>
              <w:rPr>
                <w:rFonts w:ascii="宋体" w:hAnsi="宋体"/>
                <w:sz w:val="21"/>
                <w:highlight w:val="none"/>
              </w:rPr>
            </w:pPr>
            <w:r>
              <w:rPr>
                <w:rFonts w:hint="eastAsia" w:ascii="宋体" w:hAnsi="宋体"/>
                <w:sz w:val="21"/>
                <w:highlight w:val="none"/>
              </w:rPr>
              <w:t>注册资金</w:t>
            </w:r>
          </w:p>
        </w:tc>
        <w:tc>
          <w:tcPr>
            <w:tcW w:w="2009" w:type="dxa"/>
            <w:gridSpan w:val="2"/>
          </w:tcPr>
          <w:p>
            <w:pPr>
              <w:snapToGrid w:val="0"/>
              <w:rPr>
                <w:rFonts w:ascii="宋体" w:hAnsi="宋体"/>
                <w:sz w:val="21"/>
                <w:highlight w:val="none"/>
              </w:rPr>
            </w:pPr>
          </w:p>
        </w:tc>
        <w:tc>
          <w:tcPr>
            <w:tcW w:w="1060" w:type="dxa"/>
            <w:vMerge w:val="continue"/>
          </w:tcPr>
          <w:p>
            <w:pPr>
              <w:snapToGrid w:val="0"/>
              <w:rPr>
                <w:rFonts w:ascii="宋体" w:hAnsi="宋体"/>
                <w:sz w:val="21"/>
                <w:highlight w:val="none"/>
              </w:rPr>
            </w:pPr>
          </w:p>
        </w:tc>
        <w:tc>
          <w:tcPr>
            <w:tcW w:w="2260" w:type="dxa"/>
            <w:gridSpan w:val="2"/>
            <w:vAlign w:val="center"/>
          </w:tcPr>
          <w:p>
            <w:pPr>
              <w:snapToGrid w:val="0"/>
              <w:jc w:val="center"/>
              <w:rPr>
                <w:rFonts w:ascii="宋体" w:hAnsi="宋体"/>
                <w:sz w:val="21"/>
                <w:highlight w:val="none"/>
              </w:rPr>
            </w:pPr>
            <w:r>
              <w:rPr>
                <w:rFonts w:hint="eastAsia" w:ascii="宋体" w:hAnsi="宋体"/>
                <w:sz w:val="21"/>
                <w:highlight w:val="none"/>
              </w:rPr>
              <w:t>中级职称人员</w:t>
            </w:r>
          </w:p>
        </w:tc>
        <w:tc>
          <w:tcPr>
            <w:tcW w:w="1450" w:type="dxa"/>
          </w:tcPr>
          <w:p>
            <w:pPr>
              <w:snapToGrid w:val="0"/>
              <w:rPr>
                <w:rFonts w:ascii="宋体" w:hAnsi="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3" w:type="dxa"/>
            <w:vAlign w:val="center"/>
          </w:tcPr>
          <w:p>
            <w:pPr>
              <w:snapToGrid w:val="0"/>
              <w:jc w:val="center"/>
              <w:rPr>
                <w:rFonts w:ascii="宋体" w:hAnsi="宋体"/>
                <w:sz w:val="21"/>
                <w:highlight w:val="none"/>
              </w:rPr>
            </w:pPr>
            <w:r>
              <w:rPr>
                <w:rFonts w:hint="eastAsia" w:ascii="宋体" w:hAnsi="宋体"/>
                <w:sz w:val="21"/>
                <w:highlight w:val="none"/>
              </w:rPr>
              <w:t>开户银行</w:t>
            </w:r>
          </w:p>
        </w:tc>
        <w:tc>
          <w:tcPr>
            <w:tcW w:w="2009" w:type="dxa"/>
            <w:gridSpan w:val="2"/>
          </w:tcPr>
          <w:p>
            <w:pPr>
              <w:snapToGrid w:val="0"/>
              <w:rPr>
                <w:rFonts w:ascii="宋体" w:hAnsi="宋体"/>
                <w:sz w:val="21"/>
                <w:highlight w:val="none"/>
              </w:rPr>
            </w:pPr>
          </w:p>
        </w:tc>
        <w:tc>
          <w:tcPr>
            <w:tcW w:w="1060" w:type="dxa"/>
            <w:vMerge w:val="continue"/>
          </w:tcPr>
          <w:p>
            <w:pPr>
              <w:snapToGrid w:val="0"/>
              <w:rPr>
                <w:rFonts w:ascii="宋体" w:hAnsi="宋体"/>
                <w:sz w:val="21"/>
                <w:highlight w:val="none"/>
              </w:rPr>
            </w:pPr>
          </w:p>
        </w:tc>
        <w:tc>
          <w:tcPr>
            <w:tcW w:w="2260" w:type="dxa"/>
            <w:gridSpan w:val="2"/>
            <w:vAlign w:val="center"/>
          </w:tcPr>
          <w:p>
            <w:pPr>
              <w:snapToGrid w:val="0"/>
              <w:jc w:val="center"/>
              <w:rPr>
                <w:rFonts w:ascii="宋体" w:hAnsi="宋体"/>
                <w:sz w:val="21"/>
                <w:highlight w:val="none"/>
              </w:rPr>
            </w:pPr>
            <w:r>
              <w:rPr>
                <w:rFonts w:hint="eastAsia" w:ascii="宋体" w:hAnsi="宋体"/>
                <w:sz w:val="21"/>
                <w:highlight w:val="none"/>
              </w:rPr>
              <w:t>初级职称人员</w:t>
            </w:r>
          </w:p>
        </w:tc>
        <w:tc>
          <w:tcPr>
            <w:tcW w:w="1450" w:type="dxa"/>
          </w:tcPr>
          <w:p>
            <w:pPr>
              <w:snapToGrid w:val="0"/>
              <w:rPr>
                <w:rFonts w:ascii="宋体" w:hAnsi="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3" w:type="dxa"/>
            <w:vAlign w:val="center"/>
          </w:tcPr>
          <w:p>
            <w:pPr>
              <w:snapToGrid w:val="0"/>
              <w:jc w:val="center"/>
              <w:rPr>
                <w:rFonts w:ascii="宋体" w:hAnsi="宋体"/>
                <w:sz w:val="21"/>
                <w:highlight w:val="none"/>
              </w:rPr>
            </w:pPr>
            <w:r>
              <w:rPr>
                <w:rFonts w:hint="eastAsia" w:ascii="宋体" w:hAnsi="宋体"/>
                <w:sz w:val="21"/>
                <w:highlight w:val="none"/>
              </w:rPr>
              <w:t>账号</w:t>
            </w:r>
          </w:p>
        </w:tc>
        <w:tc>
          <w:tcPr>
            <w:tcW w:w="2009" w:type="dxa"/>
            <w:gridSpan w:val="2"/>
          </w:tcPr>
          <w:p>
            <w:pPr>
              <w:snapToGrid w:val="0"/>
              <w:rPr>
                <w:rFonts w:ascii="宋体" w:hAnsi="宋体"/>
                <w:sz w:val="21"/>
                <w:highlight w:val="none"/>
              </w:rPr>
            </w:pPr>
          </w:p>
        </w:tc>
        <w:tc>
          <w:tcPr>
            <w:tcW w:w="1060" w:type="dxa"/>
            <w:vMerge w:val="continue"/>
          </w:tcPr>
          <w:p>
            <w:pPr>
              <w:snapToGrid w:val="0"/>
              <w:rPr>
                <w:rFonts w:ascii="宋体" w:hAnsi="宋体"/>
                <w:sz w:val="21"/>
                <w:highlight w:val="none"/>
              </w:rPr>
            </w:pPr>
          </w:p>
        </w:tc>
        <w:tc>
          <w:tcPr>
            <w:tcW w:w="2260" w:type="dxa"/>
            <w:gridSpan w:val="2"/>
            <w:vAlign w:val="center"/>
          </w:tcPr>
          <w:p>
            <w:pPr>
              <w:snapToGrid w:val="0"/>
              <w:jc w:val="center"/>
              <w:rPr>
                <w:rFonts w:ascii="宋体" w:hAnsi="宋体"/>
                <w:sz w:val="21"/>
                <w:highlight w:val="none"/>
              </w:rPr>
            </w:pPr>
            <w:r>
              <w:rPr>
                <w:rFonts w:hint="eastAsia" w:ascii="宋体" w:hAnsi="宋体"/>
                <w:sz w:val="21"/>
                <w:highlight w:val="none"/>
              </w:rPr>
              <w:t>技工</w:t>
            </w:r>
          </w:p>
        </w:tc>
        <w:tc>
          <w:tcPr>
            <w:tcW w:w="1450" w:type="dxa"/>
          </w:tcPr>
          <w:p>
            <w:pPr>
              <w:snapToGrid w:val="0"/>
              <w:rPr>
                <w:rFonts w:ascii="宋体" w:hAnsi="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3" w:type="dxa"/>
            <w:vAlign w:val="center"/>
          </w:tcPr>
          <w:p>
            <w:pPr>
              <w:snapToGrid w:val="0"/>
              <w:jc w:val="center"/>
              <w:rPr>
                <w:rFonts w:ascii="宋体" w:hAnsi="宋体"/>
                <w:sz w:val="21"/>
                <w:highlight w:val="none"/>
              </w:rPr>
            </w:pPr>
            <w:r>
              <w:rPr>
                <w:rFonts w:hint="eastAsia" w:ascii="宋体" w:hAnsi="宋体"/>
                <w:sz w:val="21"/>
                <w:highlight w:val="none"/>
              </w:rPr>
              <w:t>经营范围</w:t>
            </w:r>
          </w:p>
        </w:tc>
        <w:tc>
          <w:tcPr>
            <w:tcW w:w="6779" w:type="dxa"/>
            <w:gridSpan w:val="6"/>
          </w:tcPr>
          <w:p>
            <w:pPr>
              <w:snapToGrid w:val="0"/>
              <w:rPr>
                <w:rFonts w:ascii="宋体" w:hAnsi="宋体"/>
                <w:sz w:val="21"/>
                <w:highlight w:val="none"/>
              </w:rPr>
            </w:pPr>
          </w:p>
        </w:tc>
      </w:tr>
    </w:tbl>
    <w:p>
      <w:pPr>
        <w:adjustRightInd w:val="0"/>
        <w:snapToGrid w:val="0"/>
        <w:spacing w:line="360" w:lineRule="auto"/>
        <w:rPr>
          <w:rFonts w:ascii="宋体" w:hAnsi="宋体"/>
          <w:sz w:val="21"/>
          <w:highlight w:val="none"/>
        </w:rPr>
      </w:pPr>
    </w:p>
    <w:p>
      <w:pPr>
        <w:adjustRightInd w:val="0"/>
        <w:snapToGrid w:val="0"/>
        <w:spacing w:line="360" w:lineRule="auto"/>
        <w:rPr>
          <w:rFonts w:ascii="宋体" w:hAnsi="宋体"/>
          <w:sz w:val="21"/>
          <w:highlight w:val="none"/>
          <w:u w:val="single"/>
        </w:rPr>
      </w:pPr>
      <w:r>
        <w:rPr>
          <w:rFonts w:hint="eastAsia" w:ascii="宋体" w:hAnsi="宋体"/>
          <w:sz w:val="21"/>
          <w:highlight w:val="none"/>
        </w:rPr>
        <w:t>响应供应商授权代表签字：</w:t>
      </w:r>
      <w:r>
        <w:rPr>
          <w:rFonts w:ascii="宋体" w:hAnsi="宋体"/>
          <w:sz w:val="21"/>
          <w:highlight w:val="none"/>
          <w:u w:val="single"/>
        </w:rPr>
        <w:t xml:space="preserve">                        </w:t>
      </w:r>
    </w:p>
    <w:p>
      <w:pPr>
        <w:spacing w:line="360" w:lineRule="auto"/>
        <w:rPr>
          <w:rFonts w:ascii="宋体" w:hAnsi="宋体"/>
          <w:sz w:val="21"/>
          <w:highlight w:val="none"/>
        </w:rPr>
      </w:pPr>
      <w:r>
        <w:rPr>
          <w:rFonts w:hint="eastAsia" w:ascii="宋体" w:hAnsi="宋体"/>
          <w:sz w:val="21"/>
          <w:highlight w:val="none"/>
        </w:rPr>
        <w:t>（加盖响应供应商公章）</w:t>
      </w:r>
    </w:p>
    <w:p>
      <w:pPr>
        <w:spacing w:line="360" w:lineRule="auto"/>
        <w:rPr>
          <w:rFonts w:ascii="宋体" w:hAnsi="宋体"/>
          <w:sz w:val="21"/>
          <w:highlight w:val="none"/>
        </w:rPr>
      </w:pPr>
      <w:r>
        <w:rPr>
          <w:rFonts w:hint="eastAsia" w:ascii="宋体" w:hAnsi="宋体"/>
          <w:sz w:val="21"/>
          <w:highlight w:val="none"/>
        </w:rPr>
        <w:t>日期：</w:t>
      </w:r>
      <w:r>
        <w:rPr>
          <w:rFonts w:ascii="宋体" w:hAnsi="宋体"/>
          <w:sz w:val="21"/>
          <w:highlight w:val="none"/>
          <w:u w:val="single"/>
        </w:rPr>
        <w:t xml:space="preserve">                        </w:t>
      </w:r>
    </w:p>
    <w:p>
      <w:pPr>
        <w:adjustRightInd w:val="0"/>
        <w:snapToGrid w:val="0"/>
        <w:spacing w:line="360" w:lineRule="auto"/>
        <w:rPr>
          <w:rFonts w:hint="eastAsia" w:ascii="宋体" w:hAnsi="宋体" w:eastAsia="宋体"/>
          <w:b/>
          <w:szCs w:val="24"/>
          <w:highlight w:val="none"/>
          <w:lang w:val="en-US" w:eastAsia="zh-CN"/>
        </w:rPr>
      </w:pPr>
      <w:r>
        <w:rPr>
          <w:rFonts w:ascii="宋体" w:hAnsi="宋体"/>
          <w:szCs w:val="24"/>
          <w:highlight w:val="none"/>
        </w:rPr>
        <w:br w:type="page"/>
      </w:r>
      <w:r>
        <w:rPr>
          <w:rFonts w:hint="eastAsia" w:ascii="宋体" w:hAnsi="宋体"/>
          <w:b/>
          <w:szCs w:val="24"/>
          <w:highlight w:val="none"/>
        </w:rPr>
        <w:t>附件</w:t>
      </w:r>
      <w:r>
        <w:rPr>
          <w:rFonts w:hint="eastAsia" w:ascii="宋体" w:hAnsi="宋体"/>
          <w:b/>
          <w:szCs w:val="24"/>
          <w:highlight w:val="none"/>
          <w:lang w:val="en-US" w:eastAsia="zh-CN"/>
        </w:rPr>
        <w:t>9</w:t>
      </w:r>
    </w:p>
    <w:p>
      <w:pPr>
        <w:spacing w:line="450" w:lineRule="atLeast"/>
        <w:jc w:val="center"/>
        <w:rPr>
          <w:rFonts w:ascii="宋体" w:hAnsi="宋体"/>
          <w:b/>
          <w:spacing w:val="20"/>
          <w:kern w:val="0"/>
          <w:sz w:val="32"/>
          <w:szCs w:val="20"/>
          <w:highlight w:val="none"/>
        </w:rPr>
      </w:pPr>
      <w:r>
        <w:rPr>
          <w:rFonts w:hint="eastAsia" w:ascii="宋体" w:hAnsi="宋体"/>
          <w:b/>
          <w:spacing w:val="20"/>
          <w:kern w:val="0"/>
          <w:sz w:val="32"/>
          <w:szCs w:val="20"/>
          <w:highlight w:val="none"/>
        </w:rPr>
        <w:t>法定代表人授权书</w:t>
      </w:r>
    </w:p>
    <w:p>
      <w:pPr>
        <w:spacing w:line="450" w:lineRule="atLeast"/>
        <w:jc w:val="left"/>
        <w:rPr>
          <w:rFonts w:ascii="宋体" w:hAnsi="宋体"/>
          <w:kern w:val="0"/>
          <w:szCs w:val="20"/>
          <w:highlight w:val="none"/>
        </w:rPr>
      </w:pPr>
    </w:p>
    <w:p>
      <w:pPr>
        <w:spacing w:line="450" w:lineRule="atLeast"/>
        <w:jc w:val="left"/>
        <w:rPr>
          <w:rFonts w:ascii="宋体" w:hAnsi="宋体"/>
          <w:spacing w:val="20"/>
          <w:kern w:val="0"/>
          <w:sz w:val="21"/>
          <w:highlight w:val="none"/>
        </w:rPr>
      </w:pPr>
      <w:r>
        <w:rPr>
          <w:rFonts w:hint="eastAsia" w:ascii="宋体" w:hAnsi="宋体"/>
          <w:spacing w:val="20"/>
          <w:kern w:val="0"/>
          <w:sz w:val="21"/>
          <w:highlight w:val="none"/>
        </w:rPr>
        <w:t>本授权书声明：</w:t>
      </w:r>
    </w:p>
    <w:p>
      <w:pPr>
        <w:spacing w:line="450" w:lineRule="atLeast"/>
        <w:rPr>
          <w:rFonts w:ascii="宋体" w:hAnsi="宋体"/>
          <w:spacing w:val="20"/>
          <w:kern w:val="0"/>
          <w:sz w:val="21"/>
          <w:highlight w:val="none"/>
        </w:rPr>
      </w:pPr>
      <w:r>
        <w:rPr>
          <w:rFonts w:hint="eastAsia" w:ascii="宋体" w:hAnsi="宋体"/>
          <w:spacing w:val="20"/>
          <w:kern w:val="0"/>
          <w:sz w:val="21"/>
          <w:highlight w:val="none"/>
          <w:u w:val="single"/>
        </w:rPr>
        <w:t xml:space="preserve"> 　　　     　　　　  </w:t>
      </w:r>
      <w:r>
        <w:rPr>
          <w:rFonts w:hint="eastAsia" w:ascii="宋体" w:hAnsi="宋体"/>
          <w:spacing w:val="20"/>
          <w:kern w:val="0"/>
          <w:sz w:val="21"/>
          <w:highlight w:val="none"/>
        </w:rPr>
        <w:t>（单位名称）法定代表人</w:t>
      </w:r>
      <w:r>
        <w:rPr>
          <w:rFonts w:hint="eastAsia" w:ascii="宋体" w:hAnsi="宋体"/>
          <w:spacing w:val="20"/>
          <w:kern w:val="0"/>
          <w:sz w:val="21"/>
          <w:highlight w:val="none"/>
          <w:u w:val="single"/>
        </w:rPr>
        <w:t xml:space="preserve">       　</w:t>
      </w:r>
      <w:r>
        <w:rPr>
          <w:rFonts w:hint="eastAsia" w:ascii="宋体" w:hAnsi="宋体"/>
          <w:spacing w:val="20"/>
          <w:kern w:val="0"/>
          <w:sz w:val="21"/>
          <w:highlight w:val="none"/>
        </w:rPr>
        <w:t>（姓名）经合法授权，特代表本单位（以下称“响应供应商”）任命：</w:t>
      </w:r>
      <w:r>
        <w:rPr>
          <w:rFonts w:hint="eastAsia" w:ascii="宋体" w:hAnsi="宋体"/>
          <w:spacing w:val="20"/>
          <w:kern w:val="0"/>
          <w:sz w:val="21"/>
          <w:highlight w:val="none"/>
          <w:u w:val="single"/>
        </w:rPr>
        <w:t xml:space="preserve"> 　　</w:t>
      </w:r>
      <w:r>
        <w:rPr>
          <w:rFonts w:hint="eastAsia" w:ascii="宋体" w:hAnsi="宋体"/>
          <w:spacing w:val="20"/>
          <w:kern w:val="0"/>
          <w:sz w:val="21"/>
          <w:highlight w:val="none"/>
        </w:rPr>
        <w:t>（姓名）为正式的合法代理人，并授权该代理人在有关</w:t>
      </w:r>
      <w:r>
        <w:rPr>
          <w:rFonts w:hint="eastAsia" w:ascii="宋体" w:hAnsi="宋体"/>
          <w:spacing w:val="20"/>
          <w:kern w:val="0"/>
          <w:sz w:val="21"/>
          <w:highlight w:val="none"/>
          <w:u w:val="single"/>
        </w:rPr>
        <w:t>　　　　 　　　</w:t>
      </w:r>
      <w:r>
        <w:rPr>
          <w:rFonts w:hint="eastAsia" w:ascii="宋体" w:hAnsi="宋体"/>
          <w:spacing w:val="20"/>
          <w:kern w:val="0"/>
          <w:sz w:val="21"/>
          <w:highlight w:val="none"/>
        </w:rPr>
        <w:t>（项目名称）的磋商工作中，以响应供应商的名义签署</w:t>
      </w:r>
      <w:r>
        <w:rPr>
          <w:rFonts w:hint="eastAsia" w:ascii="宋体" w:hAnsi="宋体"/>
          <w:spacing w:val="20"/>
          <w:kern w:val="0"/>
          <w:sz w:val="21"/>
          <w:highlight w:val="none"/>
          <w:lang w:eastAsia="zh-CN"/>
        </w:rPr>
        <w:t>磋商函</w:t>
      </w:r>
      <w:r>
        <w:rPr>
          <w:rFonts w:hint="eastAsia" w:ascii="宋体" w:hAnsi="宋体"/>
          <w:spacing w:val="20"/>
          <w:kern w:val="0"/>
          <w:sz w:val="21"/>
          <w:highlight w:val="none"/>
        </w:rPr>
        <w:t>、进行磋商、签署合同并处理与此有关的一切事务。</w:t>
      </w:r>
    </w:p>
    <w:p>
      <w:pPr>
        <w:spacing w:line="450" w:lineRule="atLeast"/>
        <w:ind w:firstLine="500" w:firstLineChars="200"/>
        <w:rPr>
          <w:rFonts w:ascii="宋体" w:hAnsi="宋体"/>
          <w:spacing w:val="20"/>
          <w:kern w:val="0"/>
          <w:sz w:val="21"/>
          <w:highlight w:val="none"/>
        </w:rPr>
      </w:pPr>
      <w:r>
        <w:rPr>
          <w:rFonts w:hint="eastAsia" w:ascii="宋体" w:hAnsi="宋体"/>
          <w:spacing w:val="20"/>
          <w:kern w:val="0"/>
          <w:sz w:val="21"/>
          <w:highlight w:val="none"/>
        </w:rPr>
        <w:t>特签字如下，以资证明。</w:t>
      </w:r>
    </w:p>
    <w:p>
      <w:pPr>
        <w:spacing w:line="450" w:lineRule="atLeast"/>
        <w:rPr>
          <w:rFonts w:ascii="宋体" w:hAnsi="宋体"/>
          <w:spacing w:val="20"/>
          <w:kern w:val="0"/>
          <w:sz w:val="21"/>
          <w:highlight w:val="none"/>
        </w:rPr>
      </w:pPr>
    </w:p>
    <w:p>
      <w:pPr>
        <w:spacing w:line="450" w:lineRule="atLeast"/>
        <w:rPr>
          <w:rFonts w:ascii="宋体" w:hAnsi="宋体"/>
          <w:spacing w:val="20"/>
          <w:kern w:val="0"/>
          <w:sz w:val="21"/>
          <w:highlight w:val="none"/>
          <w:u w:val="single"/>
        </w:rPr>
      </w:pPr>
      <w:r>
        <w:rPr>
          <w:rFonts w:hint="eastAsia" w:ascii="宋体" w:hAnsi="宋体"/>
          <w:spacing w:val="20"/>
          <w:kern w:val="0"/>
          <w:sz w:val="21"/>
          <w:highlight w:val="none"/>
        </w:rPr>
        <w:t>授权人签字：</w:t>
      </w:r>
      <w:r>
        <w:rPr>
          <w:rFonts w:hint="eastAsia" w:ascii="宋体" w:hAnsi="宋体"/>
          <w:spacing w:val="20"/>
          <w:kern w:val="0"/>
          <w:sz w:val="21"/>
          <w:highlight w:val="none"/>
          <w:u w:val="single"/>
        </w:rPr>
        <w:t xml:space="preserve">　　　　　　　　　          </w:t>
      </w:r>
    </w:p>
    <w:p>
      <w:pPr>
        <w:spacing w:line="450" w:lineRule="atLeast"/>
        <w:rPr>
          <w:rFonts w:ascii="宋体" w:hAnsi="宋体"/>
          <w:spacing w:val="20"/>
          <w:kern w:val="0"/>
          <w:sz w:val="21"/>
          <w:highlight w:val="none"/>
        </w:rPr>
      </w:pPr>
      <w:r>
        <w:rPr>
          <w:rFonts w:hint="eastAsia" w:ascii="宋体" w:hAnsi="宋体"/>
          <w:spacing w:val="20"/>
          <w:kern w:val="0"/>
          <w:sz w:val="21"/>
          <w:highlight w:val="none"/>
        </w:rPr>
        <w:t>（加盖响应供应商公章）</w:t>
      </w:r>
    </w:p>
    <w:p>
      <w:pPr>
        <w:spacing w:line="450" w:lineRule="atLeast"/>
        <w:rPr>
          <w:rFonts w:ascii="宋体" w:hAnsi="宋体"/>
          <w:spacing w:val="20"/>
          <w:kern w:val="0"/>
          <w:sz w:val="21"/>
          <w:highlight w:val="none"/>
        </w:rPr>
      </w:pPr>
      <w:r>
        <w:rPr>
          <w:rFonts w:hint="eastAsia" w:ascii="宋体" w:hAnsi="宋体"/>
          <w:spacing w:val="20"/>
          <w:kern w:val="0"/>
          <w:sz w:val="21"/>
          <w:highlight w:val="none"/>
        </w:rPr>
        <w:t>代理人签字：　　</w:t>
      </w:r>
      <w:r>
        <w:rPr>
          <w:rFonts w:hint="eastAsia" w:ascii="宋体" w:hAnsi="宋体"/>
          <w:spacing w:val="20"/>
          <w:kern w:val="0"/>
          <w:sz w:val="21"/>
          <w:highlight w:val="none"/>
          <w:u w:val="single"/>
        </w:rPr>
        <w:t xml:space="preserve">　　　　　　　　　       </w:t>
      </w:r>
    </w:p>
    <w:p>
      <w:pPr>
        <w:spacing w:line="450" w:lineRule="atLeast"/>
        <w:rPr>
          <w:rFonts w:ascii="宋体" w:hAnsi="宋体"/>
          <w:spacing w:val="20"/>
          <w:kern w:val="0"/>
          <w:sz w:val="21"/>
          <w:highlight w:val="none"/>
        </w:rPr>
      </w:pPr>
      <w:r>
        <w:rPr>
          <w:rFonts w:hint="eastAsia" w:ascii="宋体" w:hAnsi="宋体"/>
          <w:spacing w:val="20"/>
          <w:kern w:val="0"/>
          <w:sz w:val="21"/>
          <w:highlight w:val="none"/>
        </w:rPr>
        <w:t>地     点：  　</w:t>
      </w:r>
      <w:r>
        <w:rPr>
          <w:rFonts w:hint="eastAsia" w:ascii="宋体" w:hAnsi="宋体"/>
          <w:spacing w:val="20"/>
          <w:kern w:val="0"/>
          <w:sz w:val="21"/>
          <w:highlight w:val="none"/>
          <w:u w:val="single"/>
        </w:rPr>
        <w:t xml:space="preserve">　　　　　　　　　       </w:t>
      </w:r>
    </w:p>
    <w:p>
      <w:pPr>
        <w:spacing w:line="450" w:lineRule="atLeast"/>
        <w:rPr>
          <w:rFonts w:ascii="宋体" w:hAnsi="宋体"/>
          <w:spacing w:val="20"/>
          <w:sz w:val="21"/>
          <w:highlight w:val="none"/>
        </w:rPr>
      </w:pPr>
      <w:r>
        <w:rPr>
          <w:rFonts w:hint="eastAsia" w:ascii="宋体" w:hAnsi="宋体"/>
          <w:spacing w:val="20"/>
          <w:sz w:val="21"/>
          <w:highlight w:val="none"/>
        </w:rPr>
        <w:t>时     间：  　</w:t>
      </w:r>
      <w:r>
        <w:rPr>
          <w:rFonts w:hint="eastAsia" w:ascii="宋体" w:hAnsi="宋体"/>
          <w:spacing w:val="20"/>
          <w:sz w:val="21"/>
          <w:highlight w:val="none"/>
          <w:u w:val="single"/>
        </w:rPr>
        <w:t xml:space="preserve">            　　　　　　</w:t>
      </w:r>
    </w:p>
    <w:p>
      <w:pPr>
        <w:spacing w:line="450" w:lineRule="atLeast"/>
        <w:rPr>
          <w:rFonts w:ascii="宋体" w:hAnsi="宋体"/>
          <w:spacing w:val="20"/>
          <w:sz w:val="21"/>
          <w:highlight w:val="none"/>
        </w:rPr>
      </w:pPr>
    </w:p>
    <w:p>
      <w:pPr>
        <w:spacing w:line="480" w:lineRule="exact"/>
        <w:rPr>
          <w:rFonts w:ascii="宋体" w:hAnsi="宋体"/>
          <w:kern w:val="0"/>
          <w:sz w:val="21"/>
          <w:highlight w:val="none"/>
        </w:rPr>
      </w:pPr>
      <w:r>
        <w:rPr>
          <w:rFonts w:hint="eastAsia" w:ascii="宋体" w:hAnsi="宋体"/>
          <w:kern w:val="0"/>
          <w:sz w:val="21"/>
          <w:highlight w:val="none"/>
        </w:rPr>
        <w:t>注：请在磋商文件中附上响应供应商授权代表身份证（加响应供应商公章），响应供应商授权代表在磋商当天带好有效身份证明。</w:t>
      </w:r>
    </w:p>
    <w:p>
      <w:pPr>
        <w:ind w:right="420"/>
        <w:jc w:val="left"/>
        <w:rPr>
          <w:rFonts w:hint="default" w:ascii="宋体" w:hAnsi="宋体" w:eastAsia="宋体"/>
          <w:b/>
          <w:szCs w:val="24"/>
          <w:highlight w:val="none"/>
          <w:lang w:val="en-US" w:eastAsia="zh-CN"/>
        </w:rPr>
      </w:pPr>
      <w:r>
        <w:rPr>
          <w:rFonts w:ascii="宋体" w:hAnsi="宋体"/>
          <w:szCs w:val="24"/>
          <w:highlight w:val="none"/>
        </w:rPr>
        <w:br w:type="page"/>
      </w:r>
      <w:r>
        <w:rPr>
          <w:rFonts w:hint="eastAsia" w:ascii="宋体" w:hAnsi="宋体"/>
          <w:b/>
          <w:szCs w:val="24"/>
          <w:highlight w:val="none"/>
        </w:rPr>
        <w:t>附件</w:t>
      </w:r>
      <w:r>
        <w:rPr>
          <w:rFonts w:hint="eastAsia" w:ascii="宋体" w:hAnsi="宋体"/>
          <w:b/>
          <w:szCs w:val="24"/>
          <w:highlight w:val="none"/>
          <w:lang w:val="en-US" w:eastAsia="zh-CN"/>
        </w:rPr>
        <w:t>10</w:t>
      </w:r>
    </w:p>
    <w:p>
      <w:pPr>
        <w:adjustRightInd w:val="0"/>
        <w:snapToGrid w:val="0"/>
        <w:spacing w:line="360" w:lineRule="auto"/>
        <w:jc w:val="center"/>
        <w:rPr>
          <w:rFonts w:ascii="宋体" w:hAnsi="宋体"/>
          <w:b/>
          <w:sz w:val="32"/>
          <w:szCs w:val="32"/>
          <w:highlight w:val="none"/>
        </w:rPr>
      </w:pPr>
      <w:r>
        <w:rPr>
          <w:rFonts w:hint="eastAsia" w:ascii="宋体" w:hAnsi="宋体"/>
          <w:b/>
          <w:sz w:val="32"/>
          <w:szCs w:val="32"/>
          <w:highlight w:val="none"/>
        </w:rPr>
        <w:t>声明函</w:t>
      </w:r>
    </w:p>
    <w:p>
      <w:pPr>
        <w:adjustRightInd w:val="0"/>
        <w:snapToGrid w:val="0"/>
        <w:spacing w:line="360" w:lineRule="auto"/>
        <w:jc w:val="center"/>
        <w:rPr>
          <w:rFonts w:ascii="宋体" w:hAnsi="宋体"/>
          <w:b/>
          <w:sz w:val="32"/>
          <w:szCs w:val="32"/>
          <w:highlight w:val="none"/>
        </w:rPr>
      </w:pPr>
      <w:r>
        <w:rPr>
          <w:rFonts w:ascii="宋体" w:hAnsi="宋体"/>
          <w:b/>
          <w:sz w:val="32"/>
          <w:szCs w:val="32"/>
          <w:highlight w:val="none"/>
        </w:rPr>
        <w:t xml:space="preserve">     </w:t>
      </w:r>
    </w:p>
    <w:p>
      <w:pPr>
        <w:adjustRightInd w:val="0"/>
        <w:snapToGrid w:val="0"/>
        <w:spacing w:line="360" w:lineRule="auto"/>
        <w:ind w:firstLine="420" w:firstLineChars="200"/>
        <w:jc w:val="left"/>
        <w:rPr>
          <w:rFonts w:ascii="宋体" w:hAnsi="宋体"/>
          <w:sz w:val="21"/>
          <w:highlight w:val="none"/>
        </w:rPr>
      </w:pPr>
      <w:r>
        <w:rPr>
          <w:rFonts w:hint="eastAsia" w:ascii="宋体" w:hAnsi="宋体"/>
          <w:sz w:val="21"/>
          <w:highlight w:val="none"/>
        </w:rPr>
        <w:t>我单位参加</w:t>
      </w:r>
      <w:r>
        <w:rPr>
          <w:rFonts w:hint="eastAsia" w:ascii="宋体" w:hAnsi="宋体"/>
          <w:sz w:val="21"/>
          <w:highlight w:val="none"/>
          <w:u w:val="single"/>
        </w:rPr>
        <w:t xml:space="preserve">      （项目名称）       </w:t>
      </w:r>
      <w:r>
        <w:rPr>
          <w:rFonts w:hint="eastAsia" w:ascii="宋体" w:hAnsi="宋体"/>
          <w:sz w:val="21"/>
          <w:highlight w:val="none"/>
        </w:rPr>
        <w:t>磋商，郑重声明承诺满足以下条件：</w:t>
      </w:r>
    </w:p>
    <w:p>
      <w:pPr>
        <w:adjustRightInd w:val="0"/>
        <w:snapToGrid w:val="0"/>
        <w:spacing w:line="360" w:lineRule="auto"/>
        <w:ind w:left="480" w:leftChars="200"/>
        <w:jc w:val="left"/>
        <w:rPr>
          <w:rFonts w:ascii="宋体" w:hAnsi="宋体"/>
          <w:sz w:val="21"/>
          <w:highlight w:val="none"/>
        </w:rPr>
      </w:pPr>
    </w:p>
    <w:p>
      <w:pPr>
        <w:numPr>
          <w:ilvl w:val="0"/>
          <w:numId w:val="21"/>
        </w:numPr>
        <w:adjustRightInd w:val="0"/>
        <w:snapToGrid w:val="0"/>
        <w:spacing w:line="360" w:lineRule="auto"/>
        <w:ind w:firstLine="420" w:firstLineChars="200"/>
        <w:jc w:val="left"/>
        <w:rPr>
          <w:rFonts w:ascii="宋体" w:hAnsi="宋体"/>
          <w:sz w:val="21"/>
          <w:highlight w:val="none"/>
        </w:rPr>
      </w:pPr>
      <w:r>
        <w:rPr>
          <w:rFonts w:hint="eastAsia" w:ascii="宋体" w:hAnsi="宋体"/>
          <w:sz w:val="21"/>
          <w:highlight w:val="none"/>
        </w:rPr>
        <w:t>具有独立承担民事责任的能力； </w:t>
      </w:r>
    </w:p>
    <w:p>
      <w:pPr>
        <w:numPr>
          <w:ilvl w:val="0"/>
          <w:numId w:val="21"/>
        </w:numPr>
        <w:adjustRightInd w:val="0"/>
        <w:snapToGrid w:val="0"/>
        <w:spacing w:line="360" w:lineRule="auto"/>
        <w:ind w:firstLine="420" w:firstLineChars="200"/>
        <w:jc w:val="left"/>
        <w:rPr>
          <w:rFonts w:ascii="宋体" w:hAnsi="宋体"/>
          <w:sz w:val="21"/>
          <w:highlight w:val="none"/>
        </w:rPr>
      </w:pPr>
      <w:r>
        <w:rPr>
          <w:rFonts w:hint="eastAsia" w:ascii="宋体" w:hAnsi="宋体"/>
          <w:sz w:val="21"/>
          <w:highlight w:val="none"/>
        </w:rPr>
        <w:t>具有履行合同所必需的设备和专业技术能力； </w:t>
      </w:r>
    </w:p>
    <w:p>
      <w:pPr>
        <w:numPr>
          <w:ilvl w:val="0"/>
          <w:numId w:val="21"/>
        </w:numPr>
        <w:adjustRightInd w:val="0"/>
        <w:snapToGrid w:val="0"/>
        <w:spacing w:line="360" w:lineRule="auto"/>
        <w:ind w:firstLine="420" w:firstLineChars="200"/>
        <w:jc w:val="left"/>
        <w:rPr>
          <w:rFonts w:ascii="宋体" w:hAnsi="宋体"/>
          <w:sz w:val="21"/>
          <w:highlight w:val="none"/>
        </w:rPr>
      </w:pPr>
      <w:r>
        <w:rPr>
          <w:rFonts w:hint="eastAsia" w:ascii="宋体" w:hAnsi="宋体"/>
          <w:sz w:val="21"/>
          <w:highlight w:val="none"/>
        </w:rPr>
        <w:t>参加采购活动前三年内在经营活动中没有重大违法记录； </w:t>
      </w:r>
    </w:p>
    <w:p>
      <w:pPr>
        <w:numPr>
          <w:ilvl w:val="0"/>
          <w:numId w:val="21"/>
        </w:numPr>
        <w:adjustRightInd w:val="0"/>
        <w:snapToGrid w:val="0"/>
        <w:spacing w:line="360" w:lineRule="auto"/>
        <w:ind w:firstLine="420" w:firstLineChars="200"/>
        <w:jc w:val="left"/>
        <w:rPr>
          <w:rFonts w:ascii="宋体" w:hAnsi="宋体"/>
          <w:sz w:val="21"/>
          <w:highlight w:val="none"/>
        </w:rPr>
      </w:pPr>
      <w:r>
        <w:rPr>
          <w:rFonts w:hint="eastAsia" w:ascii="宋体" w:hAnsi="宋体"/>
          <w:sz w:val="21"/>
          <w:highlight w:val="none"/>
        </w:rPr>
        <w:t>承诺已自查，在参加本项目未违反“单位负责人为同一人或者存在直接控股、管理关系的不同响应供应商，不得同时参加同一包件的响应或者未划分包件的同一招标项目的响应。”及“为采购项目提供整体设计、规范编制或者项目管理、监理、检测等服务的供应商，不得再参加该采购项目的其他采购活动。”的要求。</w:t>
      </w:r>
    </w:p>
    <w:p>
      <w:pPr>
        <w:numPr>
          <w:ilvl w:val="0"/>
          <w:numId w:val="21"/>
        </w:numPr>
        <w:adjustRightInd w:val="0"/>
        <w:snapToGrid w:val="0"/>
        <w:spacing w:line="360" w:lineRule="auto"/>
        <w:ind w:firstLine="420" w:firstLineChars="200"/>
        <w:jc w:val="left"/>
        <w:rPr>
          <w:rFonts w:ascii="宋体" w:hAnsi="宋体"/>
          <w:sz w:val="21"/>
          <w:highlight w:val="none"/>
        </w:rPr>
      </w:pPr>
      <w:r>
        <w:rPr>
          <w:rFonts w:hint="eastAsia" w:ascii="宋体" w:hAnsi="宋体"/>
          <w:sz w:val="21"/>
          <w:highlight w:val="none"/>
        </w:rPr>
        <w:t>承诺不存在以下法律法规规定的恶意串通行为：</w:t>
      </w:r>
    </w:p>
    <w:p>
      <w:pPr>
        <w:keepNext w:val="0"/>
        <w:keepLines w:val="0"/>
        <w:pageBreakBefore w:val="0"/>
        <w:widowControl w:val="0"/>
        <w:numPr>
          <w:ilvl w:val="0"/>
          <w:numId w:val="22"/>
        </w:numPr>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cs="Times New Roman"/>
          <w:sz w:val="21"/>
          <w:highlight w:val="none"/>
        </w:rPr>
      </w:pPr>
      <w:r>
        <w:rPr>
          <w:rFonts w:hint="eastAsia" w:ascii="宋体" w:hAnsi="宋体" w:cs="Times New Roman"/>
          <w:sz w:val="21"/>
          <w:highlight w:val="none"/>
        </w:rPr>
        <w:t>不同供应商的响应文件由同一单位或者个人编制；</w:t>
      </w:r>
    </w:p>
    <w:p>
      <w:pPr>
        <w:keepNext w:val="0"/>
        <w:keepLines w:val="0"/>
        <w:pageBreakBefore w:val="0"/>
        <w:widowControl w:val="0"/>
        <w:numPr>
          <w:ilvl w:val="0"/>
          <w:numId w:val="22"/>
        </w:numPr>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cs="Times New Roman"/>
          <w:sz w:val="21"/>
          <w:highlight w:val="none"/>
        </w:rPr>
      </w:pPr>
      <w:r>
        <w:rPr>
          <w:rFonts w:hint="eastAsia" w:ascii="宋体" w:hAnsi="宋体" w:cs="Times New Roman"/>
          <w:sz w:val="21"/>
          <w:highlight w:val="none"/>
        </w:rPr>
        <w:t>不同供应商委托同一单位或者个人办理响应磋商事宜；</w:t>
      </w:r>
    </w:p>
    <w:p>
      <w:pPr>
        <w:keepNext w:val="0"/>
        <w:keepLines w:val="0"/>
        <w:pageBreakBefore w:val="0"/>
        <w:widowControl w:val="0"/>
        <w:numPr>
          <w:ilvl w:val="0"/>
          <w:numId w:val="22"/>
        </w:numPr>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cs="Times New Roman"/>
          <w:sz w:val="21"/>
          <w:highlight w:val="none"/>
        </w:rPr>
      </w:pPr>
      <w:r>
        <w:rPr>
          <w:rFonts w:hint="eastAsia" w:ascii="宋体" w:hAnsi="宋体" w:cs="Times New Roman"/>
          <w:sz w:val="21"/>
          <w:highlight w:val="none"/>
        </w:rPr>
        <w:t>不同供应商的响应文件载明的项目管理成员或者联系人员为同一人；</w:t>
      </w:r>
    </w:p>
    <w:p>
      <w:pPr>
        <w:keepNext w:val="0"/>
        <w:keepLines w:val="0"/>
        <w:pageBreakBefore w:val="0"/>
        <w:widowControl w:val="0"/>
        <w:numPr>
          <w:ilvl w:val="0"/>
          <w:numId w:val="22"/>
        </w:numPr>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cs="Times New Roman"/>
          <w:sz w:val="21"/>
          <w:highlight w:val="none"/>
        </w:rPr>
      </w:pPr>
      <w:r>
        <w:rPr>
          <w:rFonts w:hint="eastAsia" w:ascii="宋体" w:hAnsi="宋体" w:cs="Times New Roman"/>
          <w:sz w:val="21"/>
          <w:highlight w:val="none"/>
        </w:rPr>
        <w:t>不同供应商的响应文件异常一致或者报价呈规律性差异；</w:t>
      </w:r>
    </w:p>
    <w:p>
      <w:pPr>
        <w:keepNext w:val="0"/>
        <w:keepLines w:val="0"/>
        <w:pageBreakBefore w:val="0"/>
        <w:widowControl w:val="0"/>
        <w:numPr>
          <w:ilvl w:val="0"/>
          <w:numId w:val="22"/>
        </w:numPr>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cs="Times New Roman"/>
          <w:sz w:val="21"/>
          <w:highlight w:val="none"/>
        </w:rPr>
      </w:pPr>
      <w:r>
        <w:rPr>
          <w:rFonts w:hint="eastAsia" w:ascii="宋体" w:hAnsi="宋体" w:cs="Times New Roman"/>
          <w:sz w:val="21"/>
          <w:highlight w:val="none"/>
        </w:rPr>
        <w:t>不同供应商的响应文件相互混装；</w:t>
      </w:r>
    </w:p>
    <w:p>
      <w:pPr>
        <w:keepNext w:val="0"/>
        <w:keepLines w:val="0"/>
        <w:pageBreakBefore w:val="0"/>
        <w:widowControl w:val="0"/>
        <w:numPr>
          <w:ilvl w:val="0"/>
          <w:numId w:val="22"/>
        </w:numPr>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cs="Times New Roman"/>
          <w:sz w:val="21"/>
          <w:highlight w:val="none"/>
        </w:rPr>
      </w:pPr>
      <w:r>
        <w:rPr>
          <w:rFonts w:hint="eastAsia" w:ascii="宋体" w:hAnsi="宋体" w:cs="Times New Roman"/>
          <w:sz w:val="21"/>
          <w:highlight w:val="none"/>
        </w:rPr>
        <w:t>不同供应商的磋商保证金从同一单位或者个人的账户转出。</w:t>
      </w:r>
    </w:p>
    <w:p>
      <w:pPr>
        <w:keepNext w:val="0"/>
        <w:keepLines w:val="0"/>
        <w:pageBreakBefore w:val="0"/>
        <w:widowControl w:val="0"/>
        <w:numPr>
          <w:ilvl w:val="0"/>
          <w:numId w:val="22"/>
        </w:numPr>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cs="Times New Roman"/>
          <w:sz w:val="21"/>
          <w:highlight w:val="none"/>
        </w:rPr>
      </w:pPr>
      <w:r>
        <w:rPr>
          <w:rFonts w:hint="eastAsia" w:ascii="宋体" w:hAnsi="宋体" w:cs="Times New Roman"/>
          <w:sz w:val="21"/>
          <w:highlight w:val="none"/>
        </w:rPr>
        <w:t>供应商直接或者间接从采购人或者采购代理机构处获得其他供应商的相关情况并修改其响应文件或者响应文件；</w:t>
      </w:r>
    </w:p>
    <w:p>
      <w:pPr>
        <w:keepNext w:val="0"/>
        <w:keepLines w:val="0"/>
        <w:pageBreakBefore w:val="0"/>
        <w:widowControl w:val="0"/>
        <w:numPr>
          <w:ilvl w:val="0"/>
          <w:numId w:val="22"/>
        </w:numPr>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cs="Times New Roman"/>
          <w:sz w:val="21"/>
          <w:highlight w:val="none"/>
        </w:rPr>
      </w:pPr>
      <w:r>
        <w:rPr>
          <w:rFonts w:hint="eastAsia" w:ascii="宋体" w:hAnsi="宋体" w:cs="Times New Roman"/>
          <w:sz w:val="21"/>
          <w:highlight w:val="none"/>
        </w:rPr>
        <w:t>供应商按照采购人或者采购代理机构的授意撤换、修改响应文件或者响应文件；</w:t>
      </w:r>
    </w:p>
    <w:p>
      <w:pPr>
        <w:keepNext w:val="0"/>
        <w:keepLines w:val="0"/>
        <w:pageBreakBefore w:val="0"/>
        <w:widowControl w:val="0"/>
        <w:numPr>
          <w:ilvl w:val="0"/>
          <w:numId w:val="22"/>
        </w:numPr>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cs="Times New Roman"/>
          <w:sz w:val="21"/>
          <w:highlight w:val="none"/>
        </w:rPr>
      </w:pPr>
      <w:r>
        <w:rPr>
          <w:rFonts w:hint="eastAsia" w:ascii="宋体" w:hAnsi="宋体" w:cs="Times New Roman"/>
          <w:sz w:val="21"/>
          <w:highlight w:val="none"/>
        </w:rPr>
        <w:t>供应商之间协商报价、技术方案等响应文件或者响应文件的实质性内容；</w:t>
      </w:r>
    </w:p>
    <w:p>
      <w:pPr>
        <w:keepNext w:val="0"/>
        <w:keepLines w:val="0"/>
        <w:pageBreakBefore w:val="0"/>
        <w:widowControl w:val="0"/>
        <w:numPr>
          <w:ilvl w:val="0"/>
          <w:numId w:val="22"/>
        </w:numPr>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cs="Times New Roman"/>
          <w:sz w:val="21"/>
          <w:highlight w:val="none"/>
        </w:rPr>
      </w:pPr>
      <w:r>
        <w:rPr>
          <w:rFonts w:hint="eastAsia" w:ascii="宋体" w:hAnsi="宋体" w:cs="Times New Roman"/>
          <w:sz w:val="21"/>
          <w:highlight w:val="none"/>
        </w:rPr>
        <w:t>属于同一集团、协会、商会等组织成员的供应商按照该组织要求协同参加采购活动；</w:t>
      </w:r>
    </w:p>
    <w:p>
      <w:pPr>
        <w:keepNext w:val="0"/>
        <w:keepLines w:val="0"/>
        <w:pageBreakBefore w:val="0"/>
        <w:widowControl w:val="0"/>
        <w:numPr>
          <w:ilvl w:val="0"/>
          <w:numId w:val="22"/>
        </w:numPr>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cs="Times New Roman"/>
          <w:sz w:val="21"/>
          <w:highlight w:val="none"/>
        </w:rPr>
      </w:pPr>
      <w:r>
        <w:rPr>
          <w:rFonts w:hint="eastAsia" w:ascii="宋体" w:hAnsi="宋体" w:cs="Times New Roman"/>
          <w:sz w:val="21"/>
          <w:highlight w:val="none"/>
        </w:rPr>
        <w:t>供应商之间事先约定由某一特定供应商中标、成交；</w:t>
      </w:r>
    </w:p>
    <w:p>
      <w:pPr>
        <w:keepNext w:val="0"/>
        <w:keepLines w:val="0"/>
        <w:pageBreakBefore w:val="0"/>
        <w:widowControl w:val="0"/>
        <w:numPr>
          <w:ilvl w:val="0"/>
          <w:numId w:val="22"/>
        </w:numPr>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cs="Times New Roman"/>
          <w:sz w:val="21"/>
          <w:highlight w:val="none"/>
        </w:rPr>
      </w:pPr>
      <w:r>
        <w:rPr>
          <w:rFonts w:hint="eastAsia" w:ascii="宋体" w:hAnsi="宋体" w:cs="Times New Roman"/>
          <w:sz w:val="21"/>
          <w:highlight w:val="none"/>
        </w:rPr>
        <w:t>供应商之间商定部分供应商放弃参加政府采购活动或者放弃中标、成交；</w:t>
      </w:r>
    </w:p>
    <w:p>
      <w:pPr>
        <w:keepNext w:val="0"/>
        <w:keepLines w:val="0"/>
        <w:pageBreakBefore w:val="0"/>
        <w:widowControl w:val="0"/>
        <w:numPr>
          <w:ilvl w:val="0"/>
          <w:numId w:val="22"/>
        </w:numPr>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cs="Times New Roman"/>
          <w:sz w:val="21"/>
          <w:highlight w:val="none"/>
        </w:rPr>
      </w:pPr>
      <w:r>
        <w:rPr>
          <w:rFonts w:hint="eastAsia" w:ascii="宋体" w:hAnsi="宋体" w:cs="Times New Roman"/>
          <w:sz w:val="21"/>
          <w:highlight w:val="none"/>
        </w:rPr>
        <w:t>供应商与采购人或者采购代理机构之间、供应商相互之间，为谋求特定供应商中标、成交或者排斥其他供应商的其他串通行为。</w:t>
      </w:r>
    </w:p>
    <w:p>
      <w:pPr>
        <w:numPr>
          <w:ilvl w:val="0"/>
          <w:numId w:val="21"/>
        </w:numPr>
        <w:adjustRightInd w:val="0"/>
        <w:snapToGrid w:val="0"/>
        <w:spacing w:line="360" w:lineRule="auto"/>
        <w:ind w:firstLine="420" w:firstLineChars="200"/>
        <w:jc w:val="left"/>
        <w:rPr>
          <w:rFonts w:ascii="宋体" w:hAnsi="宋体"/>
          <w:sz w:val="21"/>
          <w:highlight w:val="none"/>
        </w:rPr>
      </w:pPr>
      <w:r>
        <w:rPr>
          <w:rFonts w:hint="eastAsia" w:ascii="宋体" w:hAnsi="宋体"/>
          <w:sz w:val="21"/>
          <w:highlight w:val="none"/>
        </w:rPr>
        <w:t>法律、行政法规规定的其他条件；</w:t>
      </w:r>
    </w:p>
    <w:p>
      <w:pPr>
        <w:numPr>
          <w:ilvl w:val="0"/>
          <w:numId w:val="21"/>
        </w:numPr>
        <w:adjustRightInd w:val="0"/>
        <w:snapToGrid w:val="0"/>
        <w:spacing w:line="360" w:lineRule="auto"/>
        <w:ind w:firstLine="420" w:firstLineChars="200"/>
        <w:jc w:val="left"/>
        <w:rPr>
          <w:rFonts w:ascii="宋体" w:hAnsi="宋体"/>
          <w:sz w:val="21"/>
          <w:highlight w:val="none"/>
        </w:rPr>
      </w:pPr>
      <w:r>
        <w:rPr>
          <w:rFonts w:hint="eastAsia" w:ascii="宋体" w:hAnsi="宋体"/>
          <w:sz w:val="21"/>
          <w:highlight w:val="none"/>
        </w:rPr>
        <w:t>在本项目中提供的资料均真实、合法、有效。</w:t>
      </w:r>
    </w:p>
    <w:p>
      <w:pPr>
        <w:pStyle w:val="62"/>
      </w:pPr>
    </w:p>
    <w:p>
      <w:pPr>
        <w:adjustRightInd w:val="0"/>
        <w:snapToGrid w:val="0"/>
        <w:spacing w:line="360" w:lineRule="auto"/>
        <w:jc w:val="left"/>
        <w:rPr>
          <w:rFonts w:ascii="宋体" w:hAnsi="宋体"/>
          <w:sz w:val="21"/>
          <w:highlight w:val="none"/>
        </w:rPr>
      </w:pPr>
      <w:r>
        <w:rPr>
          <w:rFonts w:hint="eastAsia" w:ascii="宋体" w:hAnsi="宋体"/>
          <w:sz w:val="21"/>
          <w:highlight w:val="none"/>
        </w:rPr>
        <w:t>我方声明如违反上述承诺，自愿承担相应的法律后果。</w:t>
      </w:r>
    </w:p>
    <w:p>
      <w:pPr>
        <w:adjustRightInd w:val="0"/>
        <w:snapToGrid w:val="0"/>
        <w:spacing w:line="360" w:lineRule="auto"/>
        <w:jc w:val="left"/>
        <w:rPr>
          <w:rFonts w:ascii="宋体" w:hAnsi="宋体"/>
          <w:sz w:val="21"/>
          <w:highlight w:val="none"/>
        </w:rPr>
      </w:pPr>
      <w:r>
        <w:rPr>
          <w:rFonts w:hint="eastAsia" w:ascii="宋体" w:hAnsi="宋体"/>
          <w:sz w:val="21"/>
          <w:highlight w:val="none"/>
        </w:rPr>
        <w:t>特此声明！</w:t>
      </w:r>
    </w:p>
    <w:p>
      <w:pPr>
        <w:adjustRightInd w:val="0"/>
        <w:snapToGrid w:val="0"/>
        <w:spacing w:line="360" w:lineRule="auto"/>
        <w:jc w:val="left"/>
        <w:rPr>
          <w:rFonts w:ascii="宋体" w:hAnsi="宋体"/>
          <w:sz w:val="21"/>
          <w:highlight w:val="none"/>
        </w:rPr>
      </w:pPr>
    </w:p>
    <w:p>
      <w:pPr>
        <w:adjustRightInd w:val="0"/>
        <w:snapToGrid w:val="0"/>
        <w:spacing w:line="360" w:lineRule="auto"/>
        <w:jc w:val="left"/>
        <w:rPr>
          <w:rFonts w:ascii="宋体" w:hAnsi="宋体"/>
          <w:sz w:val="21"/>
          <w:highlight w:val="none"/>
        </w:rPr>
      </w:pPr>
      <w:r>
        <w:rPr>
          <w:rFonts w:hint="eastAsia" w:ascii="宋体" w:hAnsi="宋体"/>
          <w:sz w:val="21"/>
          <w:highlight w:val="none"/>
        </w:rPr>
        <w:t>响应供应商法定名称和地址、邮编：____________________________</w:t>
      </w:r>
    </w:p>
    <w:p>
      <w:pPr>
        <w:adjustRightInd w:val="0"/>
        <w:snapToGrid w:val="0"/>
        <w:spacing w:line="360" w:lineRule="auto"/>
        <w:jc w:val="left"/>
        <w:rPr>
          <w:rFonts w:ascii="宋体" w:hAnsi="宋体"/>
          <w:sz w:val="21"/>
          <w:highlight w:val="none"/>
        </w:rPr>
      </w:pPr>
      <w:r>
        <w:rPr>
          <w:rFonts w:hint="eastAsia" w:ascii="宋体" w:hAnsi="宋体"/>
          <w:sz w:val="21"/>
          <w:highlight w:val="none"/>
        </w:rPr>
        <w:t>电话：______________________ 　 传真：__________________ 　</w:t>
      </w:r>
    </w:p>
    <w:p>
      <w:pPr>
        <w:adjustRightInd w:val="0"/>
        <w:snapToGrid w:val="0"/>
        <w:spacing w:line="360" w:lineRule="auto"/>
        <w:jc w:val="left"/>
        <w:rPr>
          <w:rFonts w:ascii="宋体" w:hAnsi="宋体"/>
          <w:sz w:val="21"/>
          <w:highlight w:val="none"/>
        </w:rPr>
      </w:pPr>
      <w:r>
        <w:rPr>
          <w:rFonts w:hint="eastAsia" w:ascii="宋体" w:hAnsi="宋体"/>
          <w:sz w:val="21"/>
          <w:highlight w:val="none"/>
        </w:rPr>
        <w:t>响应供应商法定代表人签字：__________________</w:t>
      </w:r>
    </w:p>
    <w:p>
      <w:pPr>
        <w:adjustRightInd w:val="0"/>
        <w:snapToGrid w:val="0"/>
        <w:spacing w:line="360" w:lineRule="auto"/>
        <w:jc w:val="left"/>
        <w:rPr>
          <w:rFonts w:ascii="宋体" w:hAnsi="宋体"/>
          <w:sz w:val="21"/>
          <w:highlight w:val="none"/>
        </w:rPr>
      </w:pPr>
      <w:r>
        <w:rPr>
          <w:rFonts w:hint="eastAsia" w:ascii="宋体" w:hAnsi="宋体"/>
          <w:sz w:val="21"/>
          <w:highlight w:val="none"/>
        </w:rPr>
        <w:t>日期：____________________________</w:t>
      </w:r>
    </w:p>
    <w:p>
      <w:pPr>
        <w:adjustRightInd w:val="0"/>
        <w:snapToGrid w:val="0"/>
        <w:spacing w:line="360" w:lineRule="auto"/>
        <w:jc w:val="left"/>
        <w:rPr>
          <w:rFonts w:ascii="宋体" w:hAnsi="宋体"/>
          <w:sz w:val="21"/>
          <w:highlight w:val="none"/>
        </w:rPr>
      </w:pPr>
      <w:r>
        <w:rPr>
          <w:rFonts w:hint="eastAsia" w:ascii="宋体" w:hAnsi="宋体"/>
          <w:sz w:val="21"/>
          <w:highlight w:val="none"/>
        </w:rPr>
        <w:t>加盖响应供应商公章：__________________________</w:t>
      </w:r>
    </w:p>
    <w:p>
      <w:pPr>
        <w:adjustRightInd w:val="0"/>
        <w:snapToGrid w:val="0"/>
        <w:spacing w:line="360" w:lineRule="auto"/>
        <w:jc w:val="left"/>
        <w:rPr>
          <w:rFonts w:hint="default" w:ascii="宋体" w:hAnsi="宋体" w:eastAsia="宋体"/>
          <w:b/>
          <w:szCs w:val="24"/>
          <w:highlight w:val="none"/>
          <w:lang w:val="en-US" w:eastAsia="zh-CN"/>
        </w:rPr>
      </w:pPr>
      <w:r>
        <w:rPr>
          <w:rFonts w:hint="eastAsia" w:ascii="宋体" w:hAnsi="宋体"/>
          <w:sz w:val="21"/>
          <w:highlight w:val="none"/>
        </w:rPr>
        <w:br w:type="page"/>
      </w:r>
      <w:r>
        <w:rPr>
          <w:rFonts w:hint="eastAsia" w:ascii="宋体" w:hAnsi="宋体"/>
          <w:b/>
          <w:szCs w:val="24"/>
          <w:highlight w:val="none"/>
        </w:rPr>
        <w:t>附件</w:t>
      </w:r>
      <w:r>
        <w:rPr>
          <w:rFonts w:hint="eastAsia" w:ascii="宋体" w:hAnsi="宋体"/>
          <w:b/>
          <w:szCs w:val="24"/>
          <w:highlight w:val="none"/>
          <w:lang w:val="en-US" w:eastAsia="zh-CN"/>
        </w:rPr>
        <w:t>11</w:t>
      </w:r>
    </w:p>
    <w:p>
      <w:pPr>
        <w:adjustRightInd w:val="0"/>
        <w:snapToGrid w:val="0"/>
        <w:spacing w:line="360" w:lineRule="auto"/>
        <w:jc w:val="center"/>
        <w:rPr>
          <w:rFonts w:ascii="宋体" w:hAnsi="宋体"/>
          <w:b/>
          <w:sz w:val="32"/>
          <w:szCs w:val="32"/>
          <w:highlight w:val="none"/>
        </w:rPr>
      </w:pPr>
      <w:r>
        <w:rPr>
          <w:rFonts w:hint="eastAsia" w:ascii="宋体" w:hAnsi="宋体"/>
          <w:b/>
          <w:sz w:val="32"/>
          <w:szCs w:val="32"/>
          <w:highlight w:val="none"/>
        </w:rPr>
        <w:t>财务状况及税收、社会保障资金缴纳情况声明函</w:t>
      </w:r>
    </w:p>
    <w:p>
      <w:pPr>
        <w:adjustRightInd w:val="0"/>
        <w:snapToGrid w:val="0"/>
        <w:spacing w:line="360" w:lineRule="auto"/>
        <w:jc w:val="center"/>
        <w:rPr>
          <w:rFonts w:ascii="宋体" w:hAnsi="宋体"/>
          <w:b/>
          <w:sz w:val="32"/>
          <w:szCs w:val="32"/>
          <w:highlight w:val="none"/>
        </w:rPr>
      </w:pPr>
    </w:p>
    <w:p>
      <w:pPr>
        <w:widowControl/>
        <w:spacing w:line="360" w:lineRule="auto"/>
        <w:ind w:firstLine="420" w:firstLineChars="200"/>
        <w:jc w:val="left"/>
        <w:rPr>
          <w:rFonts w:ascii="宋体" w:hAnsi="宋体" w:cs="宋体"/>
          <w:color w:val="000000"/>
          <w:kern w:val="0"/>
          <w:sz w:val="21"/>
          <w:highlight w:val="none"/>
        </w:rPr>
      </w:pPr>
      <w:r>
        <w:rPr>
          <w:rFonts w:hint="eastAsia" w:ascii="宋体" w:hAnsi="宋体" w:cs="宋体"/>
          <w:color w:val="000000"/>
          <w:kern w:val="0"/>
          <w:sz w:val="21"/>
          <w:highlight w:val="none"/>
        </w:rPr>
        <w:t>我方</w:t>
      </w:r>
      <w:r>
        <w:rPr>
          <w:rFonts w:hint="eastAsia" w:ascii="宋体" w:hAnsi="宋体" w:cs="宋体"/>
          <w:color w:val="000000"/>
          <w:kern w:val="0"/>
          <w:sz w:val="21"/>
          <w:highlight w:val="none"/>
          <w:u w:val="single"/>
        </w:rPr>
        <w:t>（供应商名称）</w:t>
      </w:r>
      <w:r>
        <w:rPr>
          <w:rFonts w:hint="eastAsia" w:ascii="宋体" w:hAnsi="宋体" w:cs="宋体"/>
          <w:color w:val="000000"/>
          <w:kern w:val="0"/>
          <w:sz w:val="21"/>
          <w:highlight w:val="none"/>
        </w:rPr>
        <w:t>符合《中华人民共和国政府采购法》第二十二条第一款第（二）项、第（四）项规定条件，具体包括：</w:t>
      </w:r>
    </w:p>
    <w:p>
      <w:pPr>
        <w:widowControl/>
        <w:numPr>
          <w:ilvl w:val="0"/>
          <w:numId w:val="23"/>
        </w:numPr>
        <w:spacing w:line="360" w:lineRule="auto"/>
        <w:ind w:firstLine="420" w:firstLineChars="200"/>
        <w:jc w:val="left"/>
        <w:rPr>
          <w:rFonts w:ascii="宋体" w:hAnsi="宋体" w:cs="宋体"/>
          <w:color w:val="000000"/>
          <w:kern w:val="0"/>
          <w:sz w:val="21"/>
          <w:highlight w:val="none"/>
        </w:rPr>
      </w:pPr>
      <w:r>
        <w:rPr>
          <w:rFonts w:hint="eastAsia" w:ascii="宋体" w:hAnsi="宋体" w:cs="宋体"/>
          <w:color w:val="000000"/>
          <w:kern w:val="0"/>
          <w:sz w:val="21"/>
          <w:highlight w:val="none"/>
        </w:rPr>
        <w:t>具有健全的财务会计制度；</w:t>
      </w:r>
    </w:p>
    <w:p>
      <w:pPr>
        <w:widowControl/>
        <w:numPr>
          <w:ilvl w:val="0"/>
          <w:numId w:val="23"/>
        </w:numPr>
        <w:spacing w:line="360" w:lineRule="auto"/>
        <w:ind w:firstLine="420" w:firstLineChars="200"/>
        <w:jc w:val="left"/>
        <w:rPr>
          <w:rFonts w:ascii="宋体" w:hAnsi="宋体" w:cs="宋体"/>
          <w:color w:val="000000"/>
          <w:kern w:val="0"/>
          <w:sz w:val="21"/>
          <w:highlight w:val="none"/>
        </w:rPr>
      </w:pPr>
      <w:r>
        <w:rPr>
          <w:rFonts w:hint="eastAsia" w:ascii="宋体" w:hAnsi="宋体" w:cs="宋体"/>
          <w:color w:val="000000"/>
          <w:kern w:val="0"/>
          <w:sz w:val="21"/>
          <w:highlight w:val="none"/>
        </w:rPr>
        <w:t>有依法缴纳税收和社会保障资金的良好记录。</w:t>
      </w:r>
    </w:p>
    <w:p>
      <w:pPr>
        <w:widowControl/>
        <w:spacing w:line="360" w:lineRule="auto"/>
        <w:ind w:firstLine="420" w:firstLineChars="200"/>
        <w:jc w:val="left"/>
        <w:rPr>
          <w:rFonts w:ascii="宋体" w:hAnsi="宋体" w:cs="宋体"/>
          <w:color w:val="000000"/>
          <w:kern w:val="0"/>
          <w:sz w:val="21"/>
          <w:highlight w:val="none"/>
        </w:rPr>
      </w:pPr>
      <w:r>
        <w:rPr>
          <w:rFonts w:hint="eastAsia" w:ascii="宋体" w:hAnsi="宋体" w:cs="宋体"/>
          <w:color w:val="000000"/>
          <w:kern w:val="0"/>
          <w:sz w:val="21"/>
          <w:highlight w:val="none"/>
        </w:rPr>
        <w:t>特此声明。</w:t>
      </w:r>
    </w:p>
    <w:p>
      <w:pPr>
        <w:widowControl/>
        <w:spacing w:line="360" w:lineRule="auto"/>
        <w:ind w:firstLine="420" w:firstLineChars="200"/>
        <w:jc w:val="left"/>
        <w:rPr>
          <w:rFonts w:ascii="宋体" w:hAnsi="宋体" w:cs="宋体"/>
          <w:color w:val="000000"/>
          <w:kern w:val="0"/>
          <w:sz w:val="21"/>
          <w:highlight w:val="none"/>
        </w:rPr>
      </w:pPr>
    </w:p>
    <w:p>
      <w:pPr>
        <w:widowControl/>
        <w:spacing w:line="360" w:lineRule="auto"/>
        <w:ind w:firstLine="420" w:firstLineChars="200"/>
        <w:jc w:val="left"/>
        <w:rPr>
          <w:rFonts w:ascii="宋体" w:hAnsi="宋体" w:cs="宋体"/>
          <w:color w:val="000000"/>
          <w:kern w:val="0"/>
          <w:sz w:val="21"/>
          <w:highlight w:val="none"/>
        </w:rPr>
      </w:pPr>
      <w:r>
        <w:rPr>
          <w:rFonts w:hint="eastAsia" w:ascii="宋体" w:hAnsi="宋体" w:cs="宋体"/>
          <w:color w:val="000000"/>
          <w:kern w:val="0"/>
          <w:sz w:val="21"/>
          <w:highlight w:val="none"/>
        </w:rPr>
        <w:t>我方对上述声明的真实性负责。如有虚假，将依法承担相应责任。</w:t>
      </w:r>
    </w:p>
    <w:p>
      <w:pPr>
        <w:widowControl/>
        <w:spacing w:line="360" w:lineRule="auto"/>
        <w:ind w:right="2400" w:rightChars="1000" w:firstLine="210" w:firstLineChars="100"/>
        <w:jc w:val="right"/>
        <w:rPr>
          <w:rFonts w:ascii="宋体" w:hAnsi="宋体" w:cs="宋体"/>
          <w:color w:val="000000"/>
          <w:kern w:val="0"/>
          <w:sz w:val="21"/>
          <w:highlight w:val="none"/>
        </w:rPr>
      </w:pPr>
      <w:r>
        <w:rPr>
          <w:rFonts w:hint="eastAsia" w:ascii="宋体" w:hAnsi="宋体" w:cs="宋体"/>
          <w:color w:val="000000"/>
          <w:kern w:val="0"/>
          <w:sz w:val="21"/>
          <w:highlight w:val="none"/>
        </w:rPr>
        <w:t> </w:t>
      </w:r>
    </w:p>
    <w:p>
      <w:pPr>
        <w:widowControl/>
        <w:spacing w:line="360" w:lineRule="auto"/>
        <w:ind w:right="2400" w:rightChars="1000" w:firstLine="210" w:firstLineChars="100"/>
        <w:jc w:val="right"/>
        <w:rPr>
          <w:rFonts w:ascii="宋体" w:hAnsi="宋体" w:cs="宋体"/>
          <w:color w:val="000000"/>
          <w:kern w:val="0"/>
          <w:sz w:val="21"/>
          <w:highlight w:val="none"/>
        </w:rPr>
      </w:pPr>
      <w:r>
        <w:rPr>
          <w:rFonts w:hint="eastAsia" w:ascii="宋体" w:hAnsi="宋体" w:cs="宋体"/>
          <w:color w:val="000000"/>
          <w:kern w:val="0"/>
          <w:sz w:val="21"/>
          <w:highlight w:val="none"/>
        </w:rPr>
        <w:t>供应商名称（公章）：</w:t>
      </w:r>
    </w:p>
    <w:p>
      <w:pPr>
        <w:widowControl/>
        <w:spacing w:line="360" w:lineRule="auto"/>
        <w:ind w:right="2400" w:rightChars="1000" w:firstLine="210" w:firstLineChars="100"/>
        <w:jc w:val="right"/>
        <w:rPr>
          <w:rFonts w:ascii="宋体" w:hAnsi="宋体" w:cs="宋体"/>
          <w:color w:val="000000"/>
          <w:kern w:val="0"/>
          <w:sz w:val="21"/>
          <w:highlight w:val="none"/>
        </w:rPr>
      </w:pPr>
      <w:r>
        <w:rPr>
          <w:rFonts w:hint="eastAsia" w:ascii="宋体" w:hAnsi="宋体" w:cs="宋体"/>
          <w:color w:val="000000"/>
          <w:kern w:val="0"/>
          <w:sz w:val="21"/>
          <w:highlight w:val="none"/>
        </w:rPr>
        <w:t>日期：</w:t>
      </w:r>
    </w:p>
    <w:p>
      <w:pPr>
        <w:adjustRightInd w:val="0"/>
        <w:snapToGrid w:val="0"/>
        <w:spacing w:line="360" w:lineRule="auto"/>
        <w:rPr>
          <w:rFonts w:ascii="宋体" w:hAnsi="宋体"/>
          <w:highlight w:val="none"/>
        </w:rPr>
      </w:pPr>
    </w:p>
    <w:p>
      <w:pPr>
        <w:adjustRightInd w:val="0"/>
        <w:snapToGrid w:val="0"/>
        <w:spacing w:line="360" w:lineRule="auto"/>
        <w:jc w:val="left"/>
        <w:outlineLvl w:val="0"/>
        <w:rPr>
          <w:rFonts w:ascii="宋体" w:hAnsi="宋体"/>
          <w:b/>
          <w:sz w:val="32"/>
          <w:highlight w:val="none"/>
        </w:rPr>
      </w:pPr>
    </w:p>
    <w:p>
      <w:pPr>
        <w:adjustRightInd w:val="0"/>
        <w:snapToGrid w:val="0"/>
        <w:spacing w:line="360" w:lineRule="auto"/>
        <w:jc w:val="center"/>
        <w:outlineLvl w:val="0"/>
        <w:rPr>
          <w:rFonts w:ascii="宋体" w:hAnsi="宋体"/>
          <w:b/>
          <w:sz w:val="32"/>
          <w:highlight w:val="none"/>
        </w:rPr>
      </w:pPr>
    </w:p>
    <w:p>
      <w:pPr>
        <w:adjustRightInd w:val="0"/>
        <w:snapToGrid w:val="0"/>
        <w:spacing w:line="360" w:lineRule="auto"/>
        <w:ind w:firstLine="630" w:firstLineChars="196"/>
        <w:jc w:val="left"/>
        <w:outlineLvl w:val="0"/>
        <w:rPr>
          <w:rFonts w:ascii="宋体" w:hAnsi="宋体"/>
          <w:b/>
          <w:sz w:val="32"/>
          <w:highlight w:val="none"/>
        </w:rPr>
      </w:pPr>
    </w:p>
    <w:p>
      <w:pPr>
        <w:adjustRightInd w:val="0"/>
        <w:snapToGrid w:val="0"/>
        <w:spacing w:line="360" w:lineRule="auto"/>
        <w:ind w:firstLine="630" w:firstLineChars="196"/>
        <w:jc w:val="left"/>
        <w:outlineLvl w:val="0"/>
        <w:rPr>
          <w:rFonts w:ascii="宋体" w:hAnsi="宋体"/>
          <w:b/>
          <w:sz w:val="32"/>
          <w:highlight w:val="none"/>
        </w:rPr>
      </w:pPr>
    </w:p>
    <w:p>
      <w:pPr>
        <w:adjustRightInd w:val="0"/>
        <w:snapToGrid w:val="0"/>
        <w:spacing w:line="360" w:lineRule="auto"/>
        <w:ind w:firstLine="630" w:firstLineChars="196"/>
        <w:jc w:val="left"/>
        <w:outlineLvl w:val="0"/>
        <w:rPr>
          <w:rFonts w:ascii="宋体" w:hAnsi="宋体"/>
          <w:b/>
          <w:sz w:val="32"/>
          <w:highlight w:val="none"/>
        </w:rPr>
      </w:pPr>
    </w:p>
    <w:p>
      <w:pPr>
        <w:adjustRightInd w:val="0"/>
        <w:snapToGrid w:val="0"/>
        <w:spacing w:line="360" w:lineRule="auto"/>
        <w:ind w:firstLine="630" w:firstLineChars="196"/>
        <w:jc w:val="left"/>
        <w:outlineLvl w:val="0"/>
        <w:rPr>
          <w:rFonts w:ascii="宋体" w:hAnsi="宋体"/>
          <w:b/>
          <w:sz w:val="32"/>
          <w:highlight w:val="none"/>
        </w:rPr>
      </w:pPr>
    </w:p>
    <w:p>
      <w:pPr>
        <w:adjustRightInd w:val="0"/>
        <w:snapToGrid w:val="0"/>
        <w:spacing w:line="360" w:lineRule="auto"/>
        <w:jc w:val="left"/>
        <w:rPr>
          <w:rFonts w:ascii="宋体" w:hAnsi="宋体"/>
          <w:b/>
          <w:sz w:val="32"/>
          <w:highlight w:val="none"/>
        </w:rPr>
      </w:pPr>
      <w:r>
        <w:rPr>
          <w:rFonts w:ascii="宋体" w:hAnsi="宋体"/>
          <w:b/>
          <w:sz w:val="21"/>
          <w:highlight w:val="none"/>
        </w:rPr>
        <w:br w:type="page"/>
      </w:r>
    </w:p>
    <w:p>
      <w:pPr>
        <w:adjustRightInd w:val="0"/>
        <w:snapToGrid w:val="0"/>
        <w:spacing w:line="360" w:lineRule="auto"/>
        <w:jc w:val="left"/>
        <w:rPr>
          <w:rFonts w:hint="default" w:ascii="宋体" w:hAnsi="宋体" w:eastAsia="宋体"/>
          <w:b/>
          <w:szCs w:val="24"/>
          <w:highlight w:val="none"/>
          <w:lang w:val="en-US" w:eastAsia="zh-CN"/>
        </w:rPr>
      </w:pPr>
      <w:r>
        <w:rPr>
          <w:rFonts w:hint="eastAsia" w:ascii="宋体" w:hAnsi="宋体"/>
          <w:b/>
          <w:szCs w:val="24"/>
          <w:highlight w:val="none"/>
        </w:rPr>
        <w:t>附件</w:t>
      </w:r>
      <w:r>
        <w:rPr>
          <w:rFonts w:hint="eastAsia" w:ascii="宋体" w:hAnsi="宋体"/>
          <w:b/>
          <w:szCs w:val="24"/>
          <w:highlight w:val="none"/>
          <w:lang w:val="en-US" w:eastAsia="zh-CN"/>
        </w:rPr>
        <w:t>12</w:t>
      </w:r>
    </w:p>
    <w:p>
      <w:pPr>
        <w:adjustRightInd w:val="0"/>
        <w:snapToGrid w:val="0"/>
        <w:spacing w:line="360" w:lineRule="auto"/>
        <w:jc w:val="center"/>
        <w:rPr>
          <w:rFonts w:hint="eastAsia" w:ascii="宋体" w:hAnsi="宋体" w:eastAsia="宋体"/>
          <w:b/>
          <w:sz w:val="32"/>
          <w:szCs w:val="32"/>
          <w:highlight w:val="none"/>
          <w:lang w:val="en-US" w:eastAsia="zh-CN"/>
        </w:rPr>
      </w:pPr>
      <w:r>
        <w:rPr>
          <w:rFonts w:hint="eastAsia" w:ascii="宋体" w:hAnsi="宋体"/>
          <w:b/>
          <w:sz w:val="32"/>
          <w:szCs w:val="32"/>
          <w:highlight w:val="none"/>
          <w:lang w:val="en-US" w:eastAsia="zh-CN"/>
        </w:rPr>
        <w:t>中小企业声明函</w:t>
      </w:r>
    </w:p>
    <w:p>
      <w:pPr>
        <w:keepNext w:val="0"/>
        <w:keepLines w:val="0"/>
        <w:pageBreakBefore w:val="0"/>
        <w:widowControl/>
        <w:kinsoku/>
        <w:overflowPunct/>
        <w:topLinePunct w:val="0"/>
        <w:autoSpaceDE/>
        <w:autoSpaceDN/>
        <w:bidi w:val="0"/>
        <w:adjustRightInd/>
        <w:snapToGrid/>
        <w:spacing w:line="360" w:lineRule="auto"/>
        <w:ind w:firstLine="420" w:firstLineChars="200"/>
        <w:jc w:val="left"/>
        <w:textAlignment w:val="auto"/>
        <w:rPr>
          <w:rFonts w:ascii="宋体" w:hAnsi="宋体" w:eastAsia="宋体" w:cs="宋体"/>
          <w:sz w:val="21"/>
        </w:rPr>
      </w:pPr>
      <w:r>
        <w:rPr>
          <w:rFonts w:hint="eastAsia" w:ascii="宋体" w:hAnsi="宋体" w:eastAsia="宋体" w:cs="宋体"/>
          <w:sz w:val="21"/>
        </w:rPr>
        <w:t>本公司郑重声明，根据《政府采购促进中小企业发展管理办法》（财库﹝2020﹞46 号）的规定，本公司参加</w:t>
      </w:r>
      <w:r>
        <w:rPr>
          <w:rFonts w:hint="eastAsia" w:ascii="宋体" w:hAnsi="宋体" w:eastAsia="宋体" w:cs="宋体"/>
          <w:sz w:val="21"/>
          <w:u w:val="single"/>
        </w:rPr>
        <w:t>（单位名称）</w:t>
      </w:r>
      <w:r>
        <w:rPr>
          <w:rFonts w:hint="eastAsia" w:ascii="宋体" w:hAnsi="宋体" w:eastAsia="宋体" w:cs="宋体"/>
          <w:sz w:val="21"/>
        </w:rPr>
        <w:t>的</w:t>
      </w:r>
      <w:r>
        <w:rPr>
          <w:rFonts w:hint="eastAsia" w:ascii="宋体" w:hAnsi="宋体" w:eastAsia="宋体" w:cs="宋体"/>
          <w:sz w:val="21"/>
          <w:u w:val="single"/>
        </w:rPr>
        <w:t>（项目名称）</w:t>
      </w:r>
      <w:r>
        <w:rPr>
          <w:rFonts w:hint="eastAsia" w:ascii="宋体" w:hAnsi="宋体" w:eastAsia="宋体" w:cs="宋体"/>
          <w:sz w:val="21"/>
        </w:rPr>
        <w:t>采购活动，服务全部由符合政策要求的中小企业承接。相关企业（含联合体中的中小企业、签订分包意向协议的中小企业）的具体情况如下：</w:t>
      </w:r>
    </w:p>
    <w:p>
      <w:pPr>
        <w:keepNext w:val="0"/>
        <w:keepLines w:val="0"/>
        <w:pageBreakBefore w:val="0"/>
        <w:widowControl/>
        <w:kinsoku/>
        <w:overflowPunct/>
        <w:topLinePunct w:val="0"/>
        <w:autoSpaceDE/>
        <w:autoSpaceDN/>
        <w:bidi w:val="0"/>
        <w:adjustRightInd/>
        <w:snapToGrid/>
        <w:spacing w:line="360" w:lineRule="auto"/>
        <w:ind w:firstLine="420" w:firstLineChars="200"/>
        <w:jc w:val="left"/>
        <w:textAlignment w:val="auto"/>
        <w:rPr>
          <w:rFonts w:ascii="宋体" w:hAnsi="宋体" w:eastAsia="宋体" w:cs="宋体"/>
          <w:sz w:val="21"/>
        </w:rPr>
      </w:pPr>
      <w:r>
        <w:rPr>
          <w:rFonts w:hint="eastAsia" w:ascii="宋体" w:hAnsi="宋体" w:eastAsia="宋体" w:cs="宋体"/>
          <w:sz w:val="21"/>
        </w:rPr>
        <w:t>1.</w:t>
      </w:r>
      <w:r>
        <w:rPr>
          <w:rFonts w:hint="eastAsia" w:ascii="宋体" w:hAnsi="宋体" w:eastAsia="宋体" w:cs="宋体"/>
          <w:sz w:val="21"/>
          <w:u w:val="single"/>
        </w:rPr>
        <w:t>（标的名称）</w:t>
      </w:r>
      <w:r>
        <w:rPr>
          <w:rFonts w:hint="eastAsia" w:ascii="宋体" w:hAnsi="宋体" w:eastAsia="宋体" w:cs="宋体"/>
          <w:sz w:val="21"/>
        </w:rPr>
        <w:t>，属于</w:t>
      </w:r>
      <w:r>
        <w:rPr>
          <w:rFonts w:hint="eastAsia" w:ascii="宋体" w:hAnsi="宋体" w:eastAsia="宋体" w:cs="宋体"/>
          <w:b/>
          <w:bCs/>
          <w:sz w:val="21"/>
          <w:u w:val="single"/>
        </w:rPr>
        <w:t>软件和信息技术服务业</w:t>
      </w:r>
      <w:r>
        <w:rPr>
          <w:rFonts w:hint="eastAsia" w:ascii="宋体" w:hAnsi="宋体" w:eastAsia="宋体" w:cs="宋体"/>
          <w:sz w:val="21"/>
        </w:rPr>
        <w:t>；承接企业为</w:t>
      </w:r>
      <w:r>
        <w:rPr>
          <w:rFonts w:hint="eastAsia" w:ascii="宋体" w:hAnsi="宋体" w:eastAsia="宋体" w:cs="宋体"/>
          <w:sz w:val="21"/>
          <w:u w:val="single"/>
        </w:rPr>
        <w:t>（企业名称）</w:t>
      </w:r>
      <w:r>
        <w:rPr>
          <w:rFonts w:hint="eastAsia" w:ascii="宋体" w:hAnsi="宋体" w:eastAsia="宋体" w:cs="宋体"/>
          <w:sz w:val="21"/>
        </w:rPr>
        <w:t>，从业人员_____人，营业收入为_____万元，资产总额为_____万元（注），属于</w:t>
      </w:r>
      <w:r>
        <w:rPr>
          <w:rFonts w:hint="eastAsia" w:ascii="宋体" w:hAnsi="宋体" w:eastAsia="宋体" w:cs="宋体"/>
          <w:sz w:val="21"/>
          <w:u w:val="single"/>
        </w:rPr>
        <w:t>（中型企业、小型企业、微型企业）</w:t>
      </w:r>
      <w:r>
        <w:rPr>
          <w:rFonts w:hint="eastAsia" w:ascii="宋体" w:hAnsi="宋体" w:eastAsia="宋体" w:cs="宋体"/>
          <w:sz w:val="21"/>
        </w:rPr>
        <w:t xml:space="preserve">； </w:t>
      </w:r>
    </w:p>
    <w:p>
      <w:pPr>
        <w:keepNext w:val="0"/>
        <w:keepLines w:val="0"/>
        <w:pageBreakBefore w:val="0"/>
        <w:widowControl/>
        <w:kinsoku/>
        <w:overflowPunct/>
        <w:topLinePunct w:val="0"/>
        <w:autoSpaceDE/>
        <w:autoSpaceDN/>
        <w:bidi w:val="0"/>
        <w:adjustRightInd/>
        <w:snapToGrid/>
        <w:spacing w:line="360" w:lineRule="auto"/>
        <w:ind w:firstLine="420" w:firstLineChars="200"/>
        <w:jc w:val="left"/>
        <w:textAlignment w:val="auto"/>
        <w:rPr>
          <w:rFonts w:ascii="宋体" w:hAnsi="宋体" w:eastAsia="宋体" w:cs="宋体"/>
          <w:sz w:val="21"/>
        </w:rPr>
      </w:pPr>
      <w:r>
        <w:rPr>
          <w:rFonts w:hint="eastAsia" w:ascii="宋体" w:hAnsi="宋体" w:eastAsia="宋体" w:cs="宋体"/>
          <w:sz w:val="21"/>
        </w:rPr>
        <w:t>以上企业，不属于大企业的分支机构，不存在控股股东为大企业的情形，也不存在与大企业的负责人为同一人的情形。</w:t>
      </w:r>
    </w:p>
    <w:p>
      <w:pPr>
        <w:keepNext w:val="0"/>
        <w:keepLines w:val="0"/>
        <w:pageBreakBefore w:val="0"/>
        <w:widowControl/>
        <w:kinsoku/>
        <w:overflowPunct/>
        <w:topLinePunct w:val="0"/>
        <w:autoSpaceDE/>
        <w:autoSpaceDN/>
        <w:bidi w:val="0"/>
        <w:adjustRightInd/>
        <w:snapToGrid/>
        <w:spacing w:line="360" w:lineRule="auto"/>
        <w:ind w:firstLine="420" w:firstLineChars="200"/>
        <w:jc w:val="left"/>
        <w:textAlignment w:val="auto"/>
        <w:rPr>
          <w:rFonts w:ascii="宋体" w:hAnsi="宋体" w:eastAsia="宋体" w:cs="宋体"/>
          <w:sz w:val="21"/>
        </w:rPr>
      </w:pPr>
      <w:r>
        <w:rPr>
          <w:rFonts w:hint="eastAsia" w:ascii="宋体" w:hAnsi="宋体" w:eastAsia="宋体" w:cs="宋体"/>
          <w:sz w:val="21"/>
        </w:rPr>
        <w:t>本企业对上述声明内容的真实性负责。如有虚假，将依法承担相应责任。</w:t>
      </w:r>
    </w:p>
    <w:p>
      <w:pPr>
        <w:keepNext w:val="0"/>
        <w:keepLines w:val="0"/>
        <w:pageBreakBefore w:val="0"/>
        <w:widowControl/>
        <w:kinsoku/>
        <w:wordWrap/>
        <w:overflowPunct/>
        <w:topLinePunct w:val="0"/>
        <w:autoSpaceDE/>
        <w:autoSpaceDN/>
        <w:bidi w:val="0"/>
        <w:adjustRightInd/>
        <w:snapToGrid/>
        <w:spacing w:line="360" w:lineRule="auto"/>
        <w:ind w:right="2400" w:rightChars="1000" w:firstLine="2520" w:firstLineChars="1200"/>
        <w:jc w:val="right"/>
        <w:textAlignment w:val="auto"/>
        <w:rPr>
          <w:rFonts w:ascii="宋体" w:hAnsi="宋体" w:eastAsia="宋体" w:cs="宋体"/>
          <w:sz w:val="21"/>
        </w:rPr>
      </w:pPr>
      <w:r>
        <w:rPr>
          <w:rFonts w:hint="eastAsia" w:ascii="宋体" w:hAnsi="宋体" w:eastAsia="宋体" w:cs="宋体"/>
          <w:sz w:val="21"/>
        </w:rPr>
        <w:t>企业名称（盖章）：</w:t>
      </w:r>
    </w:p>
    <w:p>
      <w:pPr>
        <w:keepNext w:val="0"/>
        <w:keepLines w:val="0"/>
        <w:pageBreakBefore w:val="0"/>
        <w:widowControl/>
        <w:kinsoku/>
        <w:wordWrap/>
        <w:overflowPunct/>
        <w:topLinePunct w:val="0"/>
        <w:autoSpaceDE/>
        <w:autoSpaceDN/>
        <w:bidi w:val="0"/>
        <w:adjustRightInd/>
        <w:snapToGrid/>
        <w:spacing w:line="360" w:lineRule="auto"/>
        <w:ind w:right="2400" w:rightChars="1000" w:firstLine="2520" w:firstLineChars="1200"/>
        <w:jc w:val="right"/>
        <w:textAlignment w:val="auto"/>
        <w:rPr>
          <w:rFonts w:ascii="宋体" w:hAnsi="宋体" w:eastAsia="宋体" w:cs="宋体"/>
          <w:sz w:val="21"/>
        </w:rPr>
      </w:pPr>
      <w:r>
        <w:rPr>
          <w:rFonts w:hint="eastAsia" w:ascii="宋体" w:hAnsi="宋体" w:eastAsia="宋体" w:cs="宋体"/>
          <w:sz w:val="21"/>
        </w:rPr>
        <w:t>日期：</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rPr>
      </w:pP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注：从业人员、营业收入、资产总额填报上一年度数据，无上一年度数据的新成立企业可不填报。</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说明：</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声明函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（2）采购标的对应的中小企业划分标准所属行业，以采购文件附件表格《中小企业声明函》中规定为准。本项目采购标的对应的中小企业划分标准所属行业：软件和信息技术服务业</w:t>
      </w:r>
      <w:r>
        <w:rPr>
          <w:rFonts w:hint="eastAsia" w:ascii="宋体" w:hAnsi="宋体" w:eastAsia="宋体" w:cs="宋体"/>
          <w:b w:val="0"/>
          <w:bCs w:val="0"/>
          <w:color w:val="auto"/>
          <w:sz w:val="21"/>
          <w:szCs w:val="21"/>
          <w:highlight w:val="none"/>
          <w:u w:val="none"/>
        </w:rPr>
        <w:t>。</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（3）供应商未按照上述格式正确填写《中小企业声明函》的，视为未提供《中小企业声明函》，不享受中小企业扶持政策。</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中小企业划型标准规定</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rPr>
      </w:pPr>
    </w:p>
    <w:p>
      <w:pPr>
        <w:pStyle w:val="62"/>
        <w:rPr>
          <w:rFonts w:hint="eastAsia"/>
        </w:rPr>
        <w:sectPr>
          <w:footerReference r:id="rId9" w:type="default"/>
          <w:pgSz w:w="11906" w:h="16838"/>
          <w:pgMar w:top="1440" w:right="1800" w:bottom="1440" w:left="1800" w:header="720" w:footer="720" w:gutter="0"/>
          <w:pgNumType w:fmt="decimal"/>
          <w:cols w:space="720" w:num="1"/>
        </w:sectPr>
      </w:pPr>
    </w:p>
    <w:p>
      <w:pPr>
        <w:rPr>
          <w:rFonts w:hint="eastAsia" w:ascii="宋体" w:hAnsi="宋体"/>
          <w:b/>
          <w:szCs w:val="24"/>
          <w:highlight w:val="none"/>
        </w:rPr>
      </w:pPr>
    </w:p>
    <w:p>
      <w:pPr>
        <w:adjustRightInd w:val="0"/>
        <w:snapToGrid w:val="0"/>
        <w:spacing w:line="360" w:lineRule="auto"/>
        <w:jc w:val="left"/>
        <w:rPr>
          <w:rFonts w:hint="default" w:ascii="宋体" w:hAnsi="宋体" w:eastAsia="宋体"/>
          <w:b/>
          <w:szCs w:val="24"/>
          <w:highlight w:val="none"/>
          <w:lang w:val="en-US" w:eastAsia="zh-CN"/>
        </w:rPr>
      </w:pPr>
      <w:r>
        <w:rPr>
          <w:rFonts w:hint="eastAsia" w:ascii="宋体" w:hAnsi="宋体"/>
          <w:b/>
          <w:szCs w:val="24"/>
          <w:highlight w:val="none"/>
        </w:rPr>
        <w:t>附件</w:t>
      </w:r>
      <w:r>
        <w:rPr>
          <w:rFonts w:hint="eastAsia" w:ascii="宋体" w:hAnsi="宋体"/>
          <w:b/>
          <w:szCs w:val="24"/>
          <w:highlight w:val="none"/>
          <w:lang w:val="en-US" w:eastAsia="zh-CN"/>
        </w:rPr>
        <w:t>13</w:t>
      </w:r>
    </w:p>
    <w:p>
      <w:pPr>
        <w:adjustRightInd w:val="0"/>
        <w:snapToGrid w:val="0"/>
        <w:spacing w:line="360" w:lineRule="auto"/>
        <w:jc w:val="center"/>
        <w:rPr>
          <w:rFonts w:ascii="宋体" w:hAnsi="宋体"/>
          <w:b/>
          <w:sz w:val="32"/>
          <w:highlight w:val="none"/>
        </w:rPr>
      </w:pPr>
      <w:r>
        <w:rPr>
          <w:rFonts w:hint="eastAsia" w:ascii="宋体" w:hAnsi="宋体"/>
          <w:b/>
          <w:sz w:val="32"/>
          <w:highlight w:val="none"/>
        </w:rPr>
        <w:t>法人或者其他组织的营业执照等证明文件，自然人的身份证明文件及相关资质证书等与本次采购内容相关的资质/资格证明文件情况等</w:t>
      </w:r>
    </w:p>
    <w:p>
      <w:pPr>
        <w:widowControl/>
        <w:spacing w:line="320" w:lineRule="atLeast"/>
        <w:rPr>
          <w:rFonts w:eastAsia="隶书"/>
          <w:b/>
          <w:kern w:val="0"/>
          <w:sz w:val="44"/>
          <w:szCs w:val="20"/>
          <w:highlight w:val="none"/>
        </w:rPr>
      </w:pPr>
    </w:p>
    <w:p>
      <w:pPr>
        <w:adjustRightInd w:val="0"/>
        <w:snapToGrid w:val="0"/>
        <w:spacing w:line="360" w:lineRule="auto"/>
        <w:jc w:val="left"/>
        <w:rPr>
          <w:rFonts w:hint="default" w:ascii="宋体" w:hAnsi="宋体" w:eastAsia="宋体"/>
          <w:b/>
          <w:szCs w:val="24"/>
          <w:highlight w:val="none"/>
          <w:lang w:val="en-US" w:eastAsia="zh-CN"/>
        </w:rPr>
      </w:pPr>
      <w:r>
        <w:rPr>
          <w:rFonts w:hint="eastAsia" w:ascii="宋体" w:hAnsi="宋体"/>
          <w:b/>
          <w:szCs w:val="24"/>
          <w:highlight w:val="none"/>
        </w:rPr>
        <w:t>附件</w:t>
      </w:r>
      <w:r>
        <w:rPr>
          <w:rFonts w:hint="eastAsia" w:ascii="宋体" w:hAnsi="宋体"/>
          <w:b/>
          <w:szCs w:val="24"/>
          <w:highlight w:val="none"/>
          <w:lang w:val="en-US" w:eastAsia="zh-CN"/>
        </w:rPr>
        <w:t>14</w:t>
      </w:r>
    </w:p>
    <w:p>
      <w:pPr>
        <w:tabs>
          <w:tab w:val="left" w:pos="0"/>
        </w:tabs>
        <w:spacing w:line="360" w:lineRule="auto"/>
        <w:jc w:val="left"/>
        <w:rPr>
          <w:rFonts w:ascii="宋体" w:hAnsi="宋体"/>
          <w:b/>
          <w:sz w:val="32"/>
          <w:szCs w:val="32"/>
          <w:highlight w:val="none"/>
        </w:rPr>
      </w:pPr>
      <w:r>
        <w:rPr>
          <w:rFonts w:hint="eastAsia" w:ascii="宋体" w:hAnsi="宋体"/>
          <w:b/>
          <w:sz w:val="32"/>
          <w:szCs w:val="32"/>
          <w:highlight w:val="none"/>
        </w:rPr>
        <w:t>其他相关资料（磋商文件未要求，响应供应商认为应提供的相关资料）</w:t>
      </w:r>
    </w:p>
    <w:p>
      <w:pPr>
        <w:widowControl/>
        <w:spacing w:line="320" w:lineRule="atLeast"/>
        <w:rPr>
          <w:rFonts w:eastAsia="隶书"/>
          <w:b/>
          <w:kern w:val="0"/>
          <w:sz w:val="44"/>
          <w:szCs w:val="20"/>
          <w:highlight w:val="none"/>
        </w:rPr>
      </w:pPr>
    </w:p>
    <w:p>
      <w:pPr>
        <w:adjustRightInd w:val="0"/>
        <w:snapToGrid w:val="0"/>
        <w:spacing w:line="360" w:lineRule="auto"/>
        <w:jc w:val="left"/>
        <w:rPr>
          <w:rFonts w:hint="default" w:ascii="宋体" w:hAnsi="宋体" w:eastAsia="宋体"/>
          <w:b/>
          <w:szCs w:val="24"/>
          <w:highlight w:val="none"/>
          <w:lang w:val="en-US" w:eastAsia="zh-CN"/>
        </w:rPr>
      </w:pPr>
      <w:r>
        <w:rPr>
          <w:rFonts w:hint="eastAsia" w:ascii="宋体" w:hAnsi="宋体"/>
          <w:b/>
          <w:szCs w:val="24"/>
          <w:highlight w:val="none"/>
        </w:rPr>
        <w:t>附件</w:t>
      </w:r>
      <w:r>
        <w:rPr>
          <w:rFonts w:hint="eastAsia" w:ascii="宋体" w:hAnsi="宋体"/>
          <w:b/>
          <w:szCs w:val="24"/>
          <w:highlight w:val="none"/>
          <w:lang w:val="en-US" w:eastAsia="zh-CN"/>
        </w:rPr>
        <w:t>15</w:t>
      </w:r>
    </w:p>
    <w:p>
      <w:pPr>
        <w:tabs>
          <w:tab w:val="left" w:pos="0"/>
        </w:tabs>
        <w:spacing w:line="360" w:lineRule="auto"/>
        <w:rPr>
          <w:rFonts w:ascii="宋体" w:hAnsi="宋体"/>
          <w:b/>
          <w:sz w:val="32"/>
          <w:szCs w:val="32"/>
          <w:highlight w:val="none"/>
        </w:rPr>
      </w:pPr>
      <w:r>
        <w:rPr>
          <w:rFonts w:hint="eastAsia" w:ascii="宋体" w:hAnsi="宋体"/>
          <w:b/>
          <w:sz w:val="32"/>
          <w:szCs w:val="32"/>
          <w:highlight w:val="none"/>
        </w:rPr>
        <w:t>“信用中国”网站（www.creditchina.gov.cn）“失信被执行人”查询结果及“重大税收违法案件”查询结果、中国政府采购网（www.ccgp.gov.cn）政府采购严重违法失信名单查询结果页面截图（页面须附系统时间，日期为采购公告发布之日后）</w:t>
      </w:r>
    </w:p>
    <w:p>
      <w:pPr>
        <w:rPr>
          <w:rFonts w:hAnsi="宋体"/>
          <w:highlight w:val="none"/>
        </w:rPr>
      </w:pPr>
    </w:p>
    <w:p>
      <w:pPr>
        <w:rPr>
          <w:rFonts w:ascii="黑体" w:hAnsi="黑体" w:eastAsia="黑体"/>
          <w:highlight w:val="none"/>
        </w:rPr>
      </w:pPr>
    </w:p>
    <w:p>
      <w:pPr>
        <w:rPr>
          <w:rFonts w:ascii="黑体" w:hAnsi="黑体" w:eastAsia="黑体"/>
          <w:highlight w:val="none"/>
        </w:rPr>
      </w:pPr>
    </w:p>
    <w:p>
      <w:pPr>
        <w:rPr>
          <w:rFonts w:ascii="黑体" w:hAnsi="黑体" w:eastAsia="黑体"/>
          <w:highlight w:val="none"/>
        </w:rPr>
      </w:pPr>
    </w:p>
    <w:p>
      <w:pPr>
        <w:rPr>
          <w:rFonts w:hAnsi="宋体"/>
          <w:highlight w:val="none"/>
        </w:rPr>
      </w:pPr>
    </w:p>
    <w:p>
      <w:pPr>
        <w:numPr>
          <w:ilvl w:val="0"/>
          <w:numId w:val="5"/>
        </w:numPr>
        <w:adjustRightInd w:val="0"/>
        <w:snapToGrid w:val="0"/>
        <w:spacing w:line="360" w:lineRule="auto"/>
        <w:jc w:val="center"/>
        <w:outlineLvl w:val="0"/>
        <w:rPr>
          <w:rFonts w:ascii="宋体" w:hAnsi="宋体"/>
          <w:b/>
          <w:sz w:val="32"/>
          <w:highlight w:val="none"/>
        </w:rPr>
      </w:pPr>
      <w:r>
        <w:rPr>
          <w:rFonts w:ascii="宋体" w:hAnsi="宋体" w:cs="宋体"/>
          <w:b/>
          <w:sz w:val="40"/>
          <w:highlight w:val="none"/>
        </w:rPr>
        <w:br w:type="page"/>
      </w:r>
      <w:bookmarkStart w:id="61" w:name="_Toc22316"/>
      <w:r>
        <w:rPr>
          <w:rFonts w:hint="eastAsia" w:ascii="宋体" w:hAnsi="宋体"/>
          <w:b/>
          <w:sz w:val="32"/>
          <w:highlight w:val="none"/>
        </w:rPr>
        <w:t>项目需求</w:t>
      </w:r>
      <w:bookmarkEnd w:id="61"/>
    </w:p>
    <w:p>
      <w:pPr>
        <w:keepNext/>
        <w:keepLines/>
        <w:pageBreakBefore w:val="0"/>
        <w:widowControl w:val="0"/>
        <w:numPr>
          <w:ilvl w:val="1"/>
          <w:numId w:val="0"/>
        </w:numPr>
        <w:tabs>
          <w:tab w:val="left" w:pos="0"/>
          <w:tab w:val="left" w:pos="420"/>
        </w:tabs>
        <w:kinsoku/>
        <w:wordWrap/>
        <w:overflowPunct/>
        <w:topLinePunct w:val="0"/>
        <w:autoSpaceDE/>
        <w:autoSpaceDN/>
        <w:bidi w:val="0"/>
        <w:adjustRightInd/>
        <w:snapToGrid/>
        <w:spacing w:before="0" w:after="0" w:line="360" w:lineRule="auto"/>
        <w:ind w:left="0" w:leftChars="0" w:firstLine="422" w:firstLineChars="200"/>
        <w:jc w:val="both"/>
        <w:textAlignment w:val="auto"/>
        <w:outlineLvl w:val="0"/>
        <w:rPr>
          <w:rFonts w:hint="default" w:ascii="宋体" w:hAnsi="宋体" w:eastAsia="宋体" w:cs="宋体"/>
          <w:b/>
          <w:bCs w:val="0"/>
          <w:kern w:val="2"/>
          <w:sz w:val="21"/>
          <w:szCs w:val="21"/>
          <w:lang w:val="en-US" w:eastAsia="zh-CN" w:bidi="ar-SA"/>
        </w:rPr>
      </w:pPr>
      <w:bookmarkStart w:id="62" w:name="_Toc1566002854"/>
      <w:bookmarkStart w:id="63" w:name="_Toc24730"/>
      <w:r>
        <w:rPr>
          <w:rFonts w:hint="eastAsia" w:ascii="宋体" w:hAnsi="宋体" w:eastAsia="宋体" w:cs="宋体"/>
          <w:b/>
          <w:bCs w:val="0"/>
          <w:kern w:val="2"/>
          <w:sz w:val="21"/>
          <w:szCs w:val="21"/>
          <w:lang w:val="en-US" w:eastAsia="zh-CN" w:bidi="ar-SA"/>
        </w:rPr>
        <w:t>一、</w:t>
      </w:r>
      <w:bookmarkEnd w:id="62"/>
      <w:r>
        <w:rPr>
          <w:rFonts w:hint="eastAsia" w:ascii="宋体" w:hAnsi="宋体" w:cs="宋体"/>
          <w:b/>
          <w:bCs w:val="0"/>
          <w:kern w:val="2"/>
          <w:sz w:val="21"/>
          <w:szCs w:val="21"/>
          <w:lang w:val="en-US" w:eastAsia="zh-CN" w:bidi="ar-SA"/>
        </w:rPr>
        <w:t>项目概述</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eastAsia="宋体" w:cs="宋体"/>
          <w:bCs/>
          <w:sz w:val="21"/>
          <w:szCs w:val="21"/>
        </w:rPr>
      </w:pPr>
      <w:bookmarkStart w:id="64" w:name="_Toc24733"/>
      <w:bookmarkStart w:id="65" w:name="_Toc250389546"/>
      <w:r>
        <w:rPr>
          <w:rFonts w:hint="eastAsia" w:ascii="宋体" w:hAnsi="宋体" w:eastAsia="宋体" w:cs="宋体"/>
          <w:bCs/>
          <w:sz w:val="21"/>
          <w:szCs w:val="21"/>
        </w:rPr>
        <w:t>宝山区城市</w:t>
      </w:r>
      <w:r>
        <w:rPr>
          <w:rFonts w:hint="eastAsia" w:ascii="宋体" w:hAnsi="宋体" w:eastAsia="宋体" w:cs="宋体"/>
          <w:bCs/>
          <w:sz w:val="21"/>
          <w:szCs w:val="21"/>
          <w:lang w:eastAsia="zh-CN"/>
        </w:rPr>
        <w:t>运行</w:t>
      </w:r>
      <w:r>
        <w:rPr>
          <w:rFonts w:hint="eastAsia" w:ascii="宋体" w:hAnsi="宋体" w:eastAsia="宋体" w:cs="宋体"/>
          <w:bCs/>
          <w:sz w:val="21"/>
          <w:szCs w:val="21"/>
        </w:rPr>
        <w:t>管理中心是我区城市社会管理,城市管理和应急管理的指挥协调机构。具体负责该区社会管理和城市管理事件的受理、指挥、派发、协调、督办和评价等日常工作，统一指挥协调各联动部门应对社会和城市事件的有效处置。</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eastAsia="宋体" w:cs="宋体"/>
          <w:bCs/>
          <w:sz w:val="21"/>
          <w:szCs w:val="21"/>
        </w:rPr>
      </w:pPr>
      <w:r>
        <w:rPr>
          <w:rFonts w:hint="eastAsia" w:ascii="宋体" w:hAnsi="宋体" w:eastAsia="宋体" w:cs="宋体"/>
          <w:bCs/>
          <w:sz w:val="21"/>
          <w:szCs w:val="21"/>
        </w:rPr>
        <w:t>作为“城市</w:t>
      </w:r>
      <w:r>
        <w:rPr>
          <w:rFonts w:hint="eastAsia" w:ascii="宋体" w:hAnsi="宋体" w:eastAsia="宋体" w:cs="宋体"/>
          <w:bCs/>
          <w:sz w:val="21"/>
          <w:szCs w:val="21"/>
          <w:lang w:eastAsia="zh-CN"/>
        </w:rPr>
        <w:t>运行</w:t>
      </w:r>
      <w:r>
        <w:rPr>
          <w:rFonts w:hint="eastAsia" w:ascii="宋体" w:hAnsi="宋体" w:eastAsia="宋体" w:cs="宋体"/>
          <w:bCs/>
          <w:sz w:val="21"/>
          <w:szCs w:val="21"/>
        </w:rPr>
        <w:t>管理中心”的信息支撑系统，城市网格化综合管理信息系统是机制运行的重要支撑, 信息系统在区政务网上运行，覆盖全区相关委办局，街镇、居民区工作站，为全区城市日常管理提供统一的支撑平台。</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eastAsia="宋体" w:cs="宋体"/>
          <w:bCs/>
          <w:sz w:val="21"/>
          <w:szCs w:val="21"/>
        </w:rPr>
      </w:pPr>
      <w:r>
        <w:rPr>
          <w:rFonts w:hint="eastAsia" w:ascii="宋体" w:hAnsi="宋体" w:eastAsia="宋体" w:cs="宋体"/>
          <w:bCs/>
          <w:sz w:val="21"/>
          <w:szCs w:val="21"/>
        </w:rPr>
        <w:t>宝山区城市</w:t>
      </w:r>
      <w:r>
        <w:rPr>
          <w:rFonts w:hint="eastAsia" w:ascii="宋体" w:hAnsi="宋体" w:eastAsia="宋体" w:cs="宋体"/>
          <w:bCs/>
          <w:sz w:val="21"/>
          <w:szCs w:val="21"/>
          <w:lang w:eastAsia="zh-CN"/>
        </w:rPr>
        <w:t>运行</w:t>
      </w:r>
      <w:r>
        <w:rPr>
          <w:rFonts w:hint="eastAsia" w:ascii="宋体" w:hAnsi="宋体" w:eastAsia="宋体" w:cs="宋体"/>
          <w:bCs/>
          <w:sz w:val="21"/>
          <w:szCs w:val="21"/>
        </w:rPr>
        <w:t>管理中心共有12个街镇级平台及3个委办分中心平台，针对本区城乡管理和社会治理中的问题，基本实现“多个渠道发现、一个平台受理，一个系统分派，一套机制管理”和“各自分工负责、联勤联动应急、结果反馈及时、考核督查到位”的目标。</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eastAsia="宋体" w:cs="宋体"/>
          <w:bCs/>
          <w:sz w:val="21"/>
          <w:szCs w:val="21"/>
        </w:rPr>
      </w:pPr>
      <w:r>
        <w:rPr>
          <w:rFonts w:hint="eastAsia" w:ascii="宋体" w:hAnsi="宋体" w:eastAsia="宋体" w:cs="宋体"/>
          <w:bCs/>
          <w:sz w:val="21"/>
          <w:szCs w:val="21"/>
        </w:rPr>
        <w:t>鉴于整个系统具有涉及面广、系统涵盖子系统多，数据量大，设备厂商较多等特点，现拟组织对宝山区城市网格化综合管理中心信息系统项目的</w:t>
      </w:r>
      <w:r>
        <w:rPr>
          <w:rFonts w:hint="eastAsia" w:ascii="宋体" w:hAnsi="宋体" w:eastAsia="宋体" w:cs="宋体"/>
          <w:bCs/>
          <w:sz w:val="21"/>
          <w:szCs w:val="21"/>
          <w:lang w:eastAsia="zh-CN"/>
        </w:rPr>
        <w:t>分</w:t>
      </w:r>
      <w:r>
        <w:rPr>
          <w:rFonts w:hint="eastAsia" w:ascii="宋体" w:hAnsi="宋体" w:eastAsia="宋体" w:cs="宋体"/>
          <w:bCs/>
          <w:sz w:val="21"/>
          <w:szCs w:val="21"/>
        </w:rPr>
        <w:t>平台运维服务进行招标采购。承担单位和人员应具有扎实的软件开发与硬件维护能力，确保系统处于良好的正常运行伏态，提高系统的有效工作年限。</w:t>
      </w:r>
    </w:p>
    <w:p>
      <w:pPr>
        <w:keepNext/>
        <w:keepLines/>
        <w:pageBreakBefore w:val="0"/>
        <w:widowControl w:val="0"/>
        <w:numPr>
          <w:ilvl w:val="1"/>
          <w:numId w:val="0"/>
        </w:numPr>
        <w:tabs>
          <w:tab w:val="left" w:pos="0"/>
          <w:tab w:val="left" w:pos="420"/>
        </w:tabs>
        <w:kinsoku/>
        <w:wordWrap/>
        <w:overflowPunct/>
        <w:topLinePunct w:val="0"/>
        <w:autoSpaceDE/>
        <w:autoSpaceDN/>
        <w:bidi w:val="0"/>
        <w:adjustRightInd/>
        <w:snapToGrid/>
        <w:spacing w:before="0" w:after="0" w:line="360" w:lineRule="auto"/>
        <w:ind w:left="0" w:leftChars="0" w:firstLine="422" w:firstLineChars="200"/>
        <w:jc w:val="both"/>
        <w:textAlignment w:val="auto"/>
        <w:outlineLvl w:val="0"/>
        <w:rPr>
          <w:rFonts w:hint="eastAsia" w:ascii="宋体" w:hAnsi="宋体" w:eastAsia="宋体" w:cs="宋体"/>
          <w:b/>
          <w:bCs w:val="0"/>
          <w:kern w:val="2"/>
          <w:sz w:val="21"/>
          <w:szCs w:val="21"/>
          <w:lang w:val="en-US" w:eastAsia="zh-CN" w:bidi="ar-SA"/>
        </w:rPr>
      </w:pPr>
    </w:p>
    <w:p>
      <w:pPr>
        <w:keepNext/>
        <w:keepLines/>
        <w:pageBreakBefore w:val="0"/>
        <w:widowControl w:val="0"/>
        <w:numPr>
          <w:ilvl w:val="1"/>
          <w:numId w:val="0"/>
        </w:numPr>
        <w:tabs>
          <w:tab w:val="left" w:pos="0"/>
          <w:tab w:val="left" w:pos="420"/>
        </w:tabs>
        <w:kinsoku/>
        <w:wordWrap/>
        <w:overflowPunct/>
        <w:topLinePunct w:val="0"/>
        <w:autoSpaceDE/>
        <w:autoSpaceDN/>
        <w:bidi w:val="0"/>
        <w:adjustRightInd/>
        <w:snapToGrid/>
        <w:spacing w:before="0" w:after="0" w:line="360" w:lineRule="auto"/>
        <w:ind w:left="0" w:leftChars="0" w:firstLine="422" w:firstLineChars="200"/>
        <w:jc w:val="both"/>
        <w:textAlignment w:val="auto"/>
        <w:outlineLvl w:val="0"/>
        <w:rPr>
          <w:rFonts w:hint="default" w:ascii="宋体" w:hAnsi="宋体" w:eastAsia="宋体" w:cs="宋体"/>
          <w:b/>
          <w:bCs w:val="0"/>
          <w:kern w:val="2"/>
          <w:sz w:val="21"/>
          <w:szCs w:val="21"/>
          <w:lang w:val="en-US" w:eastAsia="zh-CN" w:bidi="ar-SA"/>
        </w:rPr>
      </w:pPr>
      <w:r>
        <w:rPr>
          <w:rFonts w:hint="eastAsia" w:ascii="宋体" w:hAnsi="宋体" w:eastAsia="宋体" w:cs="宋体"/>
          <w:b/>
          <w:bCs w:val="0"/>
          <w:kern w:val="2"/>
          <w:sz w:val="21"/>
          <w:szCs w:val="21"/>
          <w:lang w:val="en-US" w:eastAsia="zh-CN" w:bidi="ar-SA"/>
        </w:rPr>
        <w:t>二、</w:t>
      </w:r>
      <w:bookmarkEnd w:id="64"/>
      <w:r>
        <w:rPr>
          <w:rFonts w:hint="eastAsia" w:ascii="宋体" w:hAnsi="宋体" w:eastAsia="宋体" w:cs="宋体"/>
          <w:b/>
          <w:bCs w:val="0"/>
          <w:kern w:val="2"/>
          <w:sz w:val="21"/>
          <w:szCs w:val="21"/>
          <w:lang w:val="en-US" w:eastAsia="zh-CN" w:bidi="ar-SA"/>
        </w:rPr>
        <w:t>网站</w:t>
      </w:r>
      <w:bookmarkEnd w:id="65"/>
      <w:r>
        <w:rPr>
          <w:rFonts w:hint="eastAsia" w:ascii="宋体" w:hAnsi="宋体" w:cs="宋体"/>
          <w:b/>
          <w:bCs w:val="0"/>
          <w:kern w:val="2"/>
          <w:sz w:val="21"/>
          <w:szCs w:val="21"/>
          <w:lang w:val="en-US" w:eastAsia="zh-CN" w:bidi="ar-SA"/>
        </w:rPr>
        <w:t>维护对象</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eastAsia="宋体" w:cs="宋体"/>
          <w:bCs/>
          <w:sz w:val="21"/>
          <w:szCs w:val="21"/>
        </w:rPr>
      </w:pPr>
      <w:r>
        <w:rPr>
          <w:rFonts w:hint="eastAsia" w:ascii="宋体" w:hAnsi="宋体" w:eastAsia="宋体" w:cs="宋体"/>
          <w:bCs/>
          <w:sz w:val="21"/>
          <w:szCs w:val="21"/>
          <w:lang w:eastAsia="zh-CN"/>
        </w:rPr>
        <w:t>对宝山区城市运行管理中心信息系统配置的相关开发软件和应用软件提供维护服务，主要包括信息平台应用软件、产品软件等</w:t>
      </w:r>
      <w:r>
        <w:rPr>
          <w:rFonts w:hint="eastAsia" w:ascii="宋体" w:hAnsi="宋体" w:eastAsia="宋体" w:cs="宋体"/>
          <w:bCs/>
          <w:sz w:val="21"/>
          <w:szCs w:val="21"/>
        </w:rPr>
        <w:t>，详细维护对象清单如下表所示。</w:t>
      </w:r>
    </w:p>
    <w:p>
      <w:pPr>
        <w:keepLines/>
        <w:pageBreakBefore w:val="0"/>
        <w:widowControl w:val="0"/>
        <w:kinsoku/>
        <w:wordWrap/>
        <w:overflowPunct/>
        <w:topLinePunct w:val="0"/>
        <w:autoSpaceDE/>
        <w:autoSpaceDN/>
        <w:bidi w:val="0"/>
        <w:adjustRightInd/>
        <w:snapToGrid/>
        <w:spacing w:after="0" w:line="360" w:lineRule="auto"/>
        <w:ind w:left="0" w:leftChars="0" w:firstLine="420" w:firstLineChars="200"/>
        <w:jc w:val="both"/>
        <w:textAlignment w:val="auto"/>
        <w:rPr>
          <w:rFonts w:hint="eastAsia" w:ascii="宋体" w:hAnsi="宋体" w:eastAsia="宋体" w:cs="宋体"/>
          <w:color w:val="000000"/>
          <w:kern w:val="2"/>
          <w:sz w:val="21"/>
          <w:szCs w:val="21"/>
          <w:lang w:val="en-US" w:eastAsia="zh-CN" w:bidi="ar-SA"/>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5"/>
        <w:gridCol w:w="2872"/>
        <w:gridCol w:w="2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2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Cs/>
                <w:sz w:val="21"/>
                <w:szCs w:val="21"/>
              </w:rPr>
            </w:pPr>
            <w:r>
              <w:rPr>
                <w:rFonts w:hint="eastAsia" w:ascii="宋体" w:hAnsi="宋体" w:eastAsia="宋体" w:cs="宋体"/>
                <w:bCs/>
                <w:sz w:val="21"/>
                <w:szCs w:val="21"/>
              </w:rPr>
              <w:t>类别</w:t>
            </w:r>
          </w:p>
        </w:tc>
        <w:tc>
          <w:tcPr>
            <w:tcW w:w="2872"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Cs/>
                <w:sz w:val="21"/>
                <w:szCs w:val="21"/>
              </w:rPr>
            </w:pPr>
            <w:r>
              <w:rPr>
                <w:rFonts w:hint="eastAsia" w:ascii="宋体" w:hAnsi="宋体" w:eastAsia="宋体" w:cs="宋体"/>
                <w:bCs/>
                <w:sz w:val="21"/>
                <w:szCs w:val="21"/>
              </w:rPr>
              <w:t>对象名称</w:t>
            </w:r>
          </w:p>
        </w:tc>
        <w:tc>
          <w:tcPr>
            <w:tcW w:w="282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Cs/>
                <w:sz w:val="21"/>
                <w:szCs w:val="21"/>
              </w:rPr>
            </w:pPr>
            <w:r>
              <w:rPr>
                <w:rFonts w:hint="eastAsia" w:ascii="宋体" w:hAnsi="宋体" w:eastAsia="宋体" w:cs="宋体"/>
                <w:bCs/>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2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Cs/>
                <w:sz w:val="21"/>
                <w:szCs w:val="21"/>
              </w:rPr>
            </w:pPr>
            <w:r>
              <w:rPr>
                <w:rFonts w:hint="eastAsia" w:ascii="宋体" w:hAnsi="宋体" w:eastAsia="宋体" w:cs="宋体"/>
                <w:bCs/>
                <w:sz w:val="21"/>
                <w:szCs w:val="21"/>
              </w:rPr>
              <w:t>应用软件</w:t>
            </w:r>
          </w:p>
        </w:tc>
        <w:tc>
          <w:tcPr>
            <w:tcW w:w="2872"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Cs/>
                <w:sz w:val="21"/>
                <w:szCs w:val="21"/>
              </w:rPr>
            </w:pPr>
            <w:r>
              <w:rPr>
                <w:rFonts w:hint="eastAsia" w:ascii="宋体" w:hAnsi="宋体" w:eastAsia="宋体" w:cs="宋体"/>
                <w:bCs/>
                <w:sz w:val="21"/>
                <w:szCs w:val="21"/>
              </w:rPr>
              <w:t>城市日常管理子系统</w:t>
            </w:r>
          </w:p>
        </w:tc>
        <w:tc>
          <w:tcPr>
            <w:tcW w:w="282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Cs/>
                <w:sz w:val="21"/>
                <w:szCs w:val="21"/>
              </w:rPr>
            </w:pPr>
            <w:r>
              <w:rPr>
                <w:rFonts w:hint="eastAsia" w:ascii="宋体" w:hAnsi="宋体" w:eastAsia="宋体" w:cs="宋体"/>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2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sz w:val="21"/>
                <w:szCs w:val="21"/>
              </w:rPr>
            </w:pPr>
            <w:r>
              <w:rPr>
                <w:rFonts w:hint="eastAsia" w:ascii="宋体" w:hAnsi="宋体" w:eastAsia="宋体" w:cs="宋体"/>
                <w:bCs/>
                <w:sz w:val="21"/>
                <w:szCs w:val="21"/>
              </w:rPr>
              <w:t>应用软件</w:t>
            </w:r>
          </w:p>
        </w:tc>
        <w:tc>
          <w:tcPr>
            <w:tcW w:w="2872"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Cs/>
                <w:sz w:val="21"/>
                <w:szCs w:val="21"/>
              </w:rPr>
            </w:pPr>
            <w:r>
              <w:rPr>
                <w:rFonts w:hint="eastAsia" w:ascii="宋体" w:hAnsi="宋体" w:eastAsia="宋体" w:cs="宋体"/>
                <w:bCs/>
                <w:sz w:val="21"/>
                <w:szCs w:val="21"/>
              </w:rPr>
              <w:t>移动端（上报+处置）</w:t>
            </w:r>
          </w:p>
        </w:tc>
        <w:tc>
          <w:tcPr>
            <w:tcW w:w="282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bCs/>
                <w:sz w:val="21"/>
                <w:szCs w:val="21"/>
              </w:rPr>
            </w:pPr>
            <w:r>
              <w:rPr>
                <w:rFonts w:hint="eastAsia" w:ascii="宋体" w:hAnsi="宋体" w:eastAsia="宋体" w:cs="宋体"/>
                <w:bCs/>
                <w:sz w:val="21"/>
                <w:szCs w:val="21"/>
              </w:rPr>
              <w:t>1</w:t>
            </w:r>
          </w:p>
        </w:tc>
      </w:tr>
    </w:tbl>
    <w:p>
      <w:pPr>
        <w:keepLines/>
        <w:pageBreakBefore w:val="0"/>
        <w:widowControl w:val="0"/>
        <w:kinsoku/>
        <w:wordWrap/>
        <w:overflowPunct/>
        <w:topLinePunct w:val="0"/>
        <w:autoSpaceDE/>
        <w:autoSpaceDN/>
        <w:bidi w:val="0"/>
        <w:adjustRightInd/>
        <w:snapToGrid/>
        <w:spacing w:after="0" w:line="360" w:lineRule="auto"/>
        <w:ind w:left="0" w:leftChars="0" w:firstLine="420" w:firstLineChars="200"/>
        <w:jc w:val="both"/>
        <w:textAlignment w:val="auto"/>
        <w:rPr>
          <w:rFonts w:hint="eastAsia" w:ascii="宋体" w:hAnsi="宋体" w:eastAsia="宋体" w:cs="宋体"/>
          <w:kern w:val="0"/>
          <w:sz w:val="21"/>
          <w:szCs w:val="21"/>
          <w:lang w:val="en-US" w:eastAsia="zh-CN" w:bidi="ar-SA"/>
        </w:rPr>
      </w:pPr>
    </w:p>
    <w:p>
      <w:pPr>
        <w:keepNext/>
        <w:keepLines/>
        <w:pageBreakBefore w:val="0"/>
        <w:widowControl w:val="0"/>
        <w:numPr>
          <w:ilvl w:val="1"/>
          <w:numId w:val="0"/>
        </w:numPr>
        <w:tabs>
          <w:tab w:val="left" w:pos="0"/>
          <w:tab w:val="left" w:pos="420"/>
        </w:tabs>
        <w:kinsoku/>
        <w:wordWrap/>
        <w:overflowPunct/>
        <w:topLinePunct w:val="0"/>
        <w:autoSpaceDE/>
        <w:autoSpaceDN/>
        <w:bidi w:val="0"/>
        <w:adjustRightInd/>
        <w:snapToGrid/>
        <w:spacing w:before="0" w:after="0" w:line="360" w:lineRule="auto"/>
        <w:ind w:left="0" w:leftChars="0" w:firstLine="422" w:firstLineChars="200"/>
        <w:jc w:val="both"/>
        <w:textAlignment w:val="auto"/>
        <w:outlineLvl w:val="0"/>
        <w:rPr>
          <w:rFonts w:hint="default" w:ascii="宋体" w:hAnsi="宋体" w:eastAsia="宋体" w:cs="宋体"/>
          <w:b/>
          <w:bCs w:val="0"/>
          <w:kern w:val="2"/>
          <w:sz w:val="21"/>
          <w:szCs w:val="21"/>
          <w:lang w:val="en-US" w:eastAsia="zh-CN" w:bidi="ar-SA"/>
        </w:rPr>
      </w:pPr>
      <w:bookmarkStart w:id="66" w:name="_Toc541331072"/>
      <w:r>
        <w:rPr>
          <w:rFonts w:hint="eastAsia" w:ascii="宋体" w:hAnsi="宋体" w:eastAsia="宋体" w:cs="宋体"/>
          <w:b/>
          <w:bCs w:val="0"/>
          <w:kern w:val="2"/>
          <w:sz w:val="21"/>
          <w:szCs w:val="21"/>
          <w:lang w:val="en-US" w:eastAsia="zh-CN" w:bidi="ar-SA"/>
        </w:rPr>
        <w:t>三、</w:t>
      </w:r>
      <w:bookmarkEnd w:id="66"/>
      <w:r>
        <w:rPr>
          <w:rFonts w:hint="eastAsia" w:ascii="宋体" w:hAnsi="宋体" w:cs="宋体"/>
          <w:b/>
          <w:bCs w:val="0"/>
          <w:kern w:val="2"/>
          <w:sz w:val="21"/>
          <w:szCs w:val="21"/>
          <w:lang w:val="en-US" w:eastAsia="zh-CN" w:bidi="ar-SA"/>
        </w:rPr>
        <w:t>服务要求</w:t>
      </w:r>
    </w:p>
    <w:bookmarkEnd w:id="63"/>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kern w:val="2"/>
          <w:sz w:val="21"/>
          <w:szCs w:val="21"/>
          <w:lang w:val="en-US" w:eastAsia="zh-CN" w:bidi="ar-SA"/>
        </w:rPr>
      </w:pPr>
      <w:bookmarkStart w:id="67" w:name="_Hlk144681693"/>
      <w:r>
        <w:rPr>
          <w:rFonts w:hint="eastAsia" w:ascii="宋体" w:hAnsi="宋体" w:eastAsia="宋体" w:cs="宋体"/>
          <w:kern w:val="2"/>
          <w:sz w:val="21"/>
          <w:szCs w:val="21"/>
          <w:lang w:val="en-US" w:eastAsia="zh-CN" w:bidi="ar-SA"/>
        </w:rPr>
        <w:t>服务期限</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baseline"/>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自合同签订之日起1年，本项目实行1次招标3年沿用，分3年分别签订合同，每份合同有效期1年。每年由采购人对投标人的工作进行考核，考核合格后签订次年合同，次年签订的采购合同价原则上不得高于第一次采购确定的合同价格。如考核未通过或项目内容及价格变动较大的（超过原合同采购金额10%），采购人可不续签下一年合同并重新组织采购</w:t>
      </w:r>
      <w:bookmarkStart w:id="75" w:name="_GoBack"/>
      <w:bookmarkEnd w:id="75"/>
      <w:r>
        <w:rPr>
          <w:rFonts w:hint="eastAsia" w:ascii="宋体" w:hAnsi="宋体" w:eastAsia="宋体" w:cs="宋体"/>
          <w:bCs/>
          <w:kern w:val="0"/>
          <w:sz w:val="21"/>
          <w:szCs w:val="21"/>
          <w:lang w:val="en-US" w:eastAsia="zh-CN"/>
        </w:rPr>
        <w:t>。</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服务组织要求</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baseline"/>
        <w:rPr>
          <w:rFonts w:hint="default" w:ascii="宋体" w:hAnsi="宋体" w:eastAsia="宋体" w:cs="宋体"/>
          <w:bCs/>
          <w:kern w:val="0"/>
          <w:sz w:val="21"/>
          <w:szCs w:val="21"/>
          <w:lang w:val="en-US" w:eastAsia="zh-CN"/>
        </w:rPr>
      </w:pPr>
      <w:r>
        <w:rPr>
          <w:rFonts w:hint="default" w:ascii="宋体" w:hAnsi="宋体" w:eastAsia="宋体" w:cs="宋体"/>
          <w:bCs/>
          <w:kern w:val="0"/>
          <w:sz w:val="21"/>
          <w:szCs w:val="21"/>
          <w:lang w:val="en-US" w:eastAsia="zh-CN"/>
        </w:rPr>
        <w:t>人员来源合法合规，人员管理机制合理，尽量避免人员流动，人员需固定未得采购人书面允许不得调换。人员具有相关的专业技术证书、工作经验。</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baseline"/>
        <w:rPr>
          <w:rFonts w:hint="eastAsia" w:ascii="宋体" w:hAnsi="宋体" w:eastAsia="宋体" w:cs="宋体"/>
          <w:bCs/>
          <w:kern w:val="0"/>
          <w:sz w:val="21"/>
          <w:szCs w:val="21"/>
        </w:rPr>
      </w:pPr>
      <w:r>
        <w:rPr>
          <w:rFonts w:hint="default" w:ascii="宋体" w:hAnsi="宋体" w:eastAsia="宋体" w:cs="宋体"/>
          <w:bCs/>
          <w:kern w:val="0"/>
          <w:sz w:val="21"/>
          <w:szCs w:val="21"/>
          <w:lang w:val="en-US" w:eastAsia="zh-CN"/>
        </w:rPr>
        <w:t>落实不少于1名</w:t>
      </w:r>
      <w:r>
        <w:rPr>
          <w:rFonts w:hint="eastAsia" w:ascii="宋体" w:hAnsi="宋体" w:eastAsia="宋体" w:cs="宋体"/>
          <w:bCs/>
          <w:kern w:val="0"/>
          <w:sz w:val="21"/>
          <w:szCs w:val="21"/>
        </w:rPr>
        <w:t>项目经理（项目负责人）</w:t>
      </w:r>
      <w:r>
        <w:rPr>
          <w:rFonts w:hint="default" w:ascii="宋体" w:hAnsi="宋体" w:eastAsia="宋体" w:cs="宋体"/>
          <w:bCs/>
          <w:kern w:val="0"/>
          <w:sz w:val="21"/>
          <w:szCs w:val="21"/>
          <w:lang w:val="en-US" w:eastAsia="zh-CN"/>
        </w:rPr>
        <w:t>，负责人需保持通讯畅通，采购人可随时沟通项目事项。</w:t>
      </w:r>
      <w:r>
        <w:rPr>
          <w:rFonts w:hint="eastAsia" w:ascii="宋体" w:hAnsi="宋体" w:eastAsia="宋体" w:cs="宋体"/>
          <w:bCs/>
          <w:kern w:val="0"/>
          <w:sz w:val="21"/>
          <w:szCs w:val="21"/>
        </w:rPr>
        <w:t>项目经理（项目负责人）</w:t>
      </w:r>
      <w:r>
        <w:rPr>
          <w:rFonts w:hint="eastAsia" w:ascii="宋体" w:hAnsi="宋体" w:eastAsia="宋体" w:cs="宋体"/>
          <w:bCs/>
          <w:kern w:val="0"/>
          <w:sz w:val="21"/>
          <w:szCs w:val="21"/>
          <w:lang w:val="en-US" w:eastAsia="zh-CN"/>
        </w:rPr>
        <w:t>具有</w:t>
      </w:r>
      <w:r>
        <w:rPr>
          <w:rFonts w:hint="default" w:ascii="宋体" w:hAnsi="宋体" w:eastAsia="宋体" w:cs="宋体"/>
          <w:bCs/>
          <w:kern w:val="0"/>
          <w:sz w:val="21"/>
          <w:szCs w:val="21"/>
          <w:lang w:val="en-US" w:eastAsia="zh-CN"/>
        </w:rPr>
        <w:t>信息系统项目管理师证书</w:t>
      </w:r>
      <w:r>
        <w:rPr>
          <w:rFonts w:hint="eastAsia" w:ascii="宋体" w:hAnsi="宋体" w:eastAsia="宋体" w:cs="宋体"/>
          <w:bCs/>
          <w:kern w:val="0"/>
          <w:sz w:val="21"/>
          <w:szCs w:val="21"/>
        </w:rPr>
        <w:t>。</w:t>
      </w:r>
      <w:bookmarkStart w:id="68" w:name="_Hlk144727814"/>
      <w:r>
        <w:rPr>
          <w:rFonts w:hint="eastAsia" w:ascii="宋体" w:hAnsi="宋体" w:eastAsia="宋体" w:cs="宋体"/>
          <w:bCs/>
          <w:kern w:val="0"/>
          <w:sz w:val="21"/>
          <w:szCs w:val="21"/>
        </w:rPr>
        <w:t>项目经理应根据本项目实际情况及特点，针对性地组建本项目维护团队，要求维护团队应至少包含：软件工程师12名、数据库工程师2名、网络工程师2名、硬件工程师2名、运维工程师2名，相关工程师应具有丰富的类似项目维护工作经验。</w:t>
      </w:r>
    </w:p>
    <w:bookmarkEnd w:id="68"/>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baseline"/>
        <w:rPr>
          <w:rFonts w:hint="eastAsia" w:ascii="宋体" w:hAnsi="宋体" w:eastAsia="宋体" w:cs="宋体"/>
          <w:bCs/>
          <w:kern w:val="0"/>
          <w:sz w:val="21"/>
          <w:szCs w:val="21"/>
        </w:rPr>
      </w:pPr>
      <w:r>
        <w:rPr>
          <w:rFonts w:hint="eastAsia" w:ascii="宋体" w:hAnsi="宋体" w:eastAsia="宋体" w:cs="宋体"/>
          <w:bCs/>
          <w:kern w:val="0"/>
          <w:sz w:val="21"/>
          <w:szCs w:val="21"/>
        </w:rPr>
        <w:t>应设立专用的维护服务热线，并由专业工程师提供7*24小时一口式受理。</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baseline"/>
        <w:rPr>
          <w:rFonts w:hint="eastAsia" w:ascii="宋体" w:hAnsi="宋体" w:eastAsia="宋体" w:cs="宋体"/>
          <w:bCs/>
          <w:kern w:val="0"/>
          <w:sz w:val="21"/>
          <w:szCs w:val="21"/>
        </w:rPr>
      </w:pPr>
      <w:r>
        <w:rPr>
          <w:rFonts w:hint="eastAsia" w:ascii="宋体" w:hAnsi="宋体" w:eastAsia="宋体" w:cs="宋体"/>
          <w:bCs/>
          <w:kern w:val="0"/>
          <w:sz w:val="21"/>
          <w:szCs w:val="21"/>
        </w:rPr>
        <w:t>相关维护人员必须遵守</w:t>
      </w:r>
      <w:r>
        <w:rPr>
          <w:rFonts w:hint="eastAsia" w:ascii="宋体" w:hAnsi="宋体" w:eastAsia="宋体" w:cs="宋体"/>
          <w:bCs/>
          <w:kern w:val="0"/>
          <w:sz w:val="21"/>
          <w:szCs w:val="21"/>
          <w:lang w:eastAsia="zh-CN"/>
        </w:rPr>
        <w:t>采购人</w:t>
      </w:r>
      <w:r>
        <w:rPr>
          <w:rFonts w:hint="eastAsia" w:ascii="宋体" w:hAnsi="宋体" w:eastAsia="宋体" w:cs="宋体"/>
          <w:bCs/>
          <w:kern w:val="0"/>
          <w:sz w:val="21"/>
          <w:szCs w:val="21"/>
        </w:rPr>
        <w:t>的规章制度，服从</w:t>
      </w:r>
      <w:r>
        <w:rPr>
          <w:rFonts w:hint="eastAsia" w:ascii="宋体" w:hAnsi="宋体" w:eastAsia="宋体" w:cs="宋体"/>
          <w:bCs/>
          <w:kern w:val="0"/>
          <w:sz w:val="21"/>
          <w:szCs w:val="21"/>
          <w:lang w:eastAsia="zh-CN"/>
        </w:rPr>
        <w:t>采购人</w:t>
      </w:r>
      <w:r>
        <w:rPr>
          <w:rFonts w:hint="eastAsia" w:ascii="宋体" w:hAnsi="宋体" w:eastAsia="宋体" w:cs="宋体"/>
          <w:bCs/>
          <w:kern w:val="0"/>
          <w:sz w:val="21"/>
          <w:szCs w:val="21"/>
        </w:rPr>
        <w:t>管理。</w:t>
      </w:r>
      <w:r>
        <w:rPr>
          <w:rFonts w:hint="eastAsia" w:ascii="宋体" w:hAnsi="宋体" w:eastAsia="宋体" w:cs="宋体"/>
          <w:bCs/>
          <w:kern w:val="0"/>
          <w:sz w:val="21"/>
          <w:szCs w:val="21"/>
          <w:lang w:eastAsia="zh-CN"/>
        </w:rPr>
        <w:t>采购人</w:t>
      </w:r>
      <w:r>
        <w:rPr>
          <w:rFonts w:hint="eastAsia" w:ascii="宋体" w:hAnsi="宋体" w:eastAsia="宋体" w:cs="宋体"/>
          <w:bCs/>
          <w:kern w:val="0"/>
          <w:sz w:val="21"/>
          <w:szCs w:val="21"/>
        </w:rPr>
        <w:t>对维护人员在技术水平或服务态度方面不满意的，项目经理应及时更换维护人员。</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baseline"/>
        <w:rPr>
          <w:rFonts w:hint="eastAsia" w:ascii="宋体" w:hAnsi="宋体" w:eastAsia="宋体" w:cs="宋体"/>
          <w:bCs/>
          <w:kern w:val="0"/>
          <w:sz w:val="21"/>
          <w:szCs w:val="21"/>
          <w:lang w:eastAsia="zh-CN"/>
        </w:rPr>
      </w:pPr>
      <w:r>
        <w:rPr>
          <w:rFonts w:hint="eastAsia" w:ascii="宋体" w:hAnsi="宋体" w:eastAsia="宋体" w:cs="宋体"/>
          <w:bCs/>
          <w:kern w:val="0"/>
          <w:sz w:val="21"/>
          <w:szCs w:val="21"/>
        </w:rPr>
        <w:t>在本地区具有完备的售后服务中心及备品库，能提供良好的技术支持</w:t>
      </w:r>
      <w:r>
        <w:rPr>
          <w:rFonts w:hint="eastAsia" w:ascii="宋体" w:hAnsi="宋体" w:eastAsia="宋体" w:cs="宋体"/>
          <w:bCs/>
          <w:kern w:val="0"/>
          <w:sz w:val="21"/>
          <w:szCs w:val="21"/>
          <w:lang w:eastAsia="zh-CN"/>
        </w:rPr>
        <w:t>。</w:t>
      </w:r>
    </w:p>
    <w:bookmarkEnd w:id="67"/>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kern w:val="2"/>
          <w:sz w:val="21"/>
          <w:szCs w:val="21"/>
          <w:lang w:val="en-US" w:eastAsia="zh-CN" w:bidi="ar-SA"/>
        </w:rPr>
      </w:pPr>
      <w:bookmarkStart w:id="69" w:name="_Hlk144681707"/>
      <w:r>
        <w:rPr>
          <w:rFonts w:hint="eastAsia" w:ascii="宋体" w:hAnsi="宋体" w:eastAsia="宋体" w:cs="宋体"/>
          <w:kern w:val="2"/>
          <w:sz w:val="21"/>
          <w:szCs w:val="21"/>
          <w:lang w:val="en-US" w:eastAsia="zh-CN" w:bidi="ar-SA"/>
        </w:rPr>
        <w:t>服务管理要求</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baseline"/>
        <w:rPr>
          <w:rFonts w:hint="eastAsia" w:ascii="宋体" w:hAnsi="宋体" w:eastAsia="宋体" w:cs="宋体"/>
          <w:bCs/>
          <w:kern w:val="0"/>
          <w:sz w:val="21"/>
          <w:szCs w:val="21"/>
        </w:rPr>
      </w:pPr>
      <w:bookmarkStart w:id="70" w:name="_Hlk144681667"/>
      <w:r>
        <w:rPr>
          <w:rFonts w:hint="eastAsia" w:ascii="宋体" w:hAnsi="宋体" w:eastAsia="宋体" w:cs="宋体"/>
          <w:bCs/>
          <w:kern w:val="0"/>
          <w:sz w:val="21"/>
          <w:szCs w:val="21"/>
        </w:rPr>
        <w:t>要求采用现场服务、热线值守、智能监控、定期巡检相结合的方式来提供服务；</w:t>
      </w:r>
    </w:p>
    <w:bookmarkEnd w:id="69"/>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20" w:firstLineChars="200"/>
        <w:jc w:val="left"/>
        <w:textAlignment w:val="baseline"/>
        <w:rPr>
          <w:rFonts w:hint="eastAsia" w:ascii="宋体" w:hAnsi="宋体" w:eastAsia="宋体" w:cs="宋体"/>
          <w:bCs/>
          <w:kern w:val="0"/>
          <w:sz w:val="21"/>
          <w:szCs w:val="21"/>
        </w:rPr>
      </w:pPr>
      <w:r>
        <w:rPr>
          <w:rFonts w:hint="eastAsia" w:ascii="宋体" w:hAnsi="宋体" w:eastAsia="宋体" w:cs="宋体"/>
          <w:bCs/>
          <w:kern w:val="0"/>
          <w:sz w:val="21"/>
          <w:szCs w:val="21"/>
        </w:rPr>
        <w:t>现场服务：安排一名专职技术支持工程师每周一天驻城运中心现场进行系统相关软硬件设备、系统软件功能的巡检和现场处置；收集</w:t>
      </w:r>
      <w:r>
        <w:rPr>
          <w:rFonts w:hint="eastAsia" w:ascii="宋体" w:hAnsi="宋体" w:eastAsia="宋体" w:cs="宋体"/>
          <w:bCs/>
          <w:kern w:val="0"/>
          <w:sz w:val="21"/>
          <w:szCs w:val="21"/>
          <w:lang w:eastAsia="zh-CN"/>
        </w:rPr>
        <w:t>采购人</w:t>
      </w:r>
      <w:r>
        <w:rPr>
          <w:rFonts w:hint="eastAsia" w:ascii="宋体" w:hAnsi="宋体" w:eastAsia="宋体" w:cs="宋体"/>
          <w:bCs/>
          <w:kern w:val="0"/>
          <w:sz w:val="21"/>
          <w:szCs w:val="21"/>
        </w:rPr>
        <w:t>需求，并反馈需求处理情况；受理信息系统各级平台（区、乡镇、处置部门、网格巡查员）的报障，并反馈故障处理情况；远程或现场进行排查故障、技术支持工作；对于系统相关硬件和网络故障处置进行全过程协调和跟踪。</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20" w:firstLineChars="200"/>
        <w:jc w:val="left"/>
        <w:textAlignment w:val="baseline"/>
        <w:rPr>
          <w:rFonts w:hint="eastAsia" w:ascii="宋体" w:hAnsi="宋体" w:eastAsia="宋体" w:cs="宋体"/>
          <w:bCs/>
          <w:kern w:val="0"/>
          <w:sz w:val="21"/>
          <w:szCs w:val="21"/>
        </w:rPr>
      </w:pPr>
      <w:r>
        <w:rPr>
          <w:rFonts w:hint="eastAsia" w:ascii="宋体" w:hAnsi="宋体" w:eastAsia="宋体" w:cs="宋体"/>
          <w:bCs/>
          <w:kern w:val="0"/>
          <w:sz w:val="21"/>
          <w:szCs w:val="21"/>
        </w:rPr>
        <w:t>热线值守：设立专人值守的热线电话，7*24小时提供一口式故障受理及技术支持服务，及时调度技术支持工程师人员远程或现场排查故障、技术支持工作。</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20" w:firstLineChars="200"/>
        <w:jc w:val="left"/>
        <w:textAlignment w:val="baseline"/>
        <w:rPr>
          <w:rFonts w:hint="eastAsia" w:ascii="宋体" w:hAnsi="宋体" w:eastAsia="宋体" w:cs="宋体"/>
          <w:bCs/>
          <w:kern w:val="0"/>
          <w:sz w:val="21"/>
          <w:szCs w:val="21"/>
        </w:rPr>
      </w:pPr>
      <w:r>
        <w:rPr>
          <w:rFonts w:hint="eastAsia" w:ascii="宋体" w:hAnsi="宋体" w:eastAsia="宋体" w:cs="宋体"/>
          <w:bCs/>
          <w:kern w:val="0"/>
          <w:sz w:val="21"/>
          <w:szCs w:val="21"/>
        </w:rPr>
        <w:t>智能监控：通过智能监控系统，7*24小时主动监控系统核心服务和接口状态，及时发现包括网络链路、服务器、市12345系统、市随申拍系统的传输性及服务故障，自动报告值守维护人员并及时处理，预防发生重大事故。</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20" w:firstLineChars="200"/>
        <w:jc w:val="left"/>
        <w:textAlignment w:val="baseline"/>
        <w:rPr>
          <w:rFonts w:hint="eastAsia" w:ascii="宋体" w:hAnsi="宋体" w:eastAsia="宋体" w:cs="宋体"/>
          <w:bCs/>
          <w:kern w:val="0"/>
          <w:sz w:val="21"/>
          <w:szCs w:val="21"/>
        </w:rPr>
      </w:pPr>
      <w:r>
        <w:rPr>
          <w:rFonts w:hint="eastAsia" w:ascii="宋体" w:hAnsi="宋体" w:eastAsia="宋体" w:cs="宋体"/>
          <w:bCs/>
          <w:kern w:val="0"/>
          <w:sz w:val="21"/>
          <w:szCs w:val="21"/>
        </w:rPr>
        <w:t>专项检查：安排专项软件开发工程师，每天检查和市12345系统、市随申拍系统的接收、反馈数据情况，确保两个市级系统的案件能够及时接收、及时反馈。</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20" w:firstLineChars="200"/>
        <w:jc w:val="left"/>
        <w:textAlignment w:val="baseline"/>
        <w:rPr>
          <w:rFonts w:hint="eastAsia" w:ascii="宋体" w:hAnsi="宋体" w:eastAsia="宋体" w:cs="宋体"/>
          <w:bCs/>
          <w:kern w:val="0"/>
          <w:sz w:val="21"/>
          <w:szCs w:val="21"/>
        </w:rPr>
      </w:pPr>
      <w:r>
        <w:rPr>
          <w:rFonts w:hint="eastAsia" w:ascii="宋体" w:hAnsi="宋体" w:eastAsia="宋体" w:cs="宋体"/>
          <w:bCs/>
          <w:kern w:val="0"/>
          <w:sz w:val="21"/>
          <w:szCs w:val="21"/>
        </w:rPr>
        <w:t>数据更新：每年对辖区内行政区域、地形图、遥感图等基础数据进行数据更新，并根据用户需求进行网格划分数据的更新。</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20" w:firstLineChars="200"/>
        <w:jc w:val="left"/>
        <w:textAlignment w:val="baseline"/>
        <w:rPr>
          <w:rFonts w:hint="eastAsia" w:ascii="宋体" w:hAnsi="宋体" w:eastAsia="宋体" w:cs="宋体"/>
          <w:bCs/>
          <w:kern w:val="0"/>
          <w:sz w:val="21"/>
          <w:szCs w:val="21"/>
        </w:rPr>
      </w:pPr>
      <w:r>
        <w:rPr>
          <w:rFonts w:hint="eastAsia" w:ascii="宋体" w:hAnsi="宋体" w:eastAsia="宋体" w:cs="宋体"/>
          <w:bCs/>
          <w:kern w:val="0"/>
          <w:sz w:val="21"/>
          <w:szCs w:val="21"/>
        </w:rPr>
        <w:t>需求更新:对于用户提出的系统功能范围内的升级、优化需求，进行需求分析后，和</w:t>
      </w:r>
      <w:r>
        <w:rPr>
          <w:rFonts w:hint="eastAsia" w:ascii="宋体" w:hAnsi="宋体" w:eastAsia="宋体" w:cs="宋体"/>
          <w:bCs/>
          <w:kern w:val="0"/>
          <w:sz w:val="21"/>
          <w:szCs w:val="21"/>
          <w:lang w:eastAsia="zh-CN"/>
        </w:rPr>
        <w:t>采购人</w:t>
      </w:r>
      <w:r>
        <w:rPr>
          <w:rFonts w:hint="eastAsia" w:ascii="宋体" w:hAnsi="宋体" w:eastAsia="宋体" w:cs="宋体"/>
          <w:bCs/>
          <w:kern w:val="0"/>
          <w:sz w:val="21"/>
          <w:szCs w:val="21"/>
        </w:rPr>
        <w:t>确认需求分析结果、需求实现方式，并在需求实现时间节点内完成功能上线。</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20" w:firstLineChars="200"/>
        <w:jc w:val="left"/>
        <w:textAlignment w:val="baseline"/>
        <w:rPr>
          <w:rFonts w:hint="eastAsia" w:ascii="宋体" w:hAnsi="宋体" w:eastAsia="宋体" w:cs="宋体"/>
          <w:bCs/>
          <w:kern w:val="0"/>
          <w:sz w:val="21"/>
          <w:szCs w:val="21"/>
        </w:rPr>
      </w:pPr>
      <w:r>
        <w:rPr>
          <w:rFonts w:hint="eastAsia" w:ascii="宋体" w:hAnsi="宋体" w:eastAsia="宋体" w:cs="宋体"/>
          <w:bCs/>
          <w:kern w:val="0"/>
          <w:sz w:val="21"/>
          <w:szCs w:val="21"/>
        </w:rPr>
        <w:t>培训服务：对信息系统各级平台（区、乡镇、处置部门、网格巡查员）用户提供关于系统功能更新后的业务操作培训。</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20" w:firstLineChars="200"/>
        <w:jc w:val="left"/>
        <w:textAlignment w:val="baseline"/>
        <w:rPr>
          <w:rFonts w:hint="eastAsia" w:ascii="宋体" w:hAnsi="宋体" w:eastAsia="宋体" w:cs="宋体"/>
          <w:bCs/>
          <w:kern w:val="0"/>
          <w:sz w:val="21"/>
          <w:szCs w:val="21"/>
        </w:rPr>
      </w:pPr>
      <w:r>
        <w:rPr>
          <w:rFonts w:hint="eastAsia" w:ascii="宋体" w:hAnsi="宋体" w:eastAsia="宋体" w:cs="宋体"/>
          <w:bCs/>
          <w:kern w:val="0"/>
          <w:sz w:val="21"/>
          <w:szCs w:val="21"/>
        </w:rPr>
        <w:t>运维记录：编制并按时提交日常巡检报告、运维年报以及在发生重大事故后的故障处理报告。</w:t>
      </w:r>
    </w:p>
    <w:bookmarkEnd w:id="70"/>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kern w:val="2"/>
          <w:sz w:val="21"/>
          <w:szCs w:val="21"/>
          <w:lang w:val="en-US" w:eastAsia="zh-CN" w:bidi="ar-SA"/>
        </w:rPr>
      </w:pPr>
      <w:bookmarkStart w:id="71" w:name="_Hlk144681738"/>
      <w:r>
        <w:rPr>
          <w:rFonts w:hint="eastAsia" w:ascii="宋体" w:hAnsi="宋体" w:eastAsia="宋体" w:cs="宋体"/>
          <w:kern w:val="2"/>
          <w:sz w:val="21"/>
          <w:szCs w:val="21"/>
          <w:lang w:val="en-US" w:eastAsia="zh-CN" w:bidi="ar-SA"/>
        </w:rPr>
        <w:t>服务技术要求</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baseline"/>
        <w:rPr>
          <w:rFonts w:hint="eastAsia" w:ascii="宋体" w:hAnsi="宋体" w:eastAsia="宋体" w:cs="宋体"/>
          <w:bCs/>
          <w:kern w:val="0"/>
          <w:sz w:val="21"/>
          <w:szCs w:val="21"/>
        </w:rPr>
      </w:pPr>
      <w:r>
        <w:rPr>
          <w:rFonts w:hint="eastAsia" w:ascii="宋体" w:hAnsi="宋体" w:eastAsia="宋体" w:cs="宋体"/>
          <w:bCs/>
          <w:kern w:val="0"/>
          <w:sz w:val="21"/>
          <w:szCs w:val="21"/>
        </w:rPr>
        <w:t>要求</w:t>
      </w:r>
      <w:r>
        <w:rPr>
          <w:rFonts w:hint="eastAsia" w:ascii="宋体" w:hAnsi="宋体" w:eastAsia="宋体" w:cs="宋体"/>
          <w:bCs/>
          <w:kern w:val="0"/>
          <w:sz w:val="21"/>
          <w:szCs w:val="21"/>
          <w:lang w:val="en-US" w:eastAsia="zh-CN"/>
        </w:rPr>
        <w:t>响应供应商</w:t>
      </w:r>
      <w:r>
        <w:rPr>
          <w:rFonts w:hint="eastAsia" w:ascii="宋体" w:hAnsi="宋体" w:eastAsia="宋体" w:cs="宋体"/>
          <w:bCs/>
          <w:kern w:val="0"/>
          <w:sz w:val="21"/>
          <w:szCs w:val="21"/>
        </w:rPr>
        <w:t>接到报障后，15分钟内提供电话技术支持服务。</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baseline"/>
        <w:rPr>
          <w:rFonts w:hint="eastAsia" w:ascii="宋体" w:hAnsi="宋体" w:eastAsia="宋体" w:cs="宋体"/>
          <w:bCs/>
          <w:kern w:val="0"/>
          <w:sz w:val="21"/>
          <w:szCs w:val="21"/>
        </w:rPr>
      </w:pPr>
      <w:r>
        <w:rPr>
          <w:rFonts w:hint="eastAsia" w:ascii="宋体" w:hAnsi="宋体" w:eastAsia="宋体" w:cs="宋体"/>
          <w:bCs/>
          <w:kern w:val="0"/>
          <w:sz w:val="21"/>
          <w:szCs w:val="21"/>
        </w:rPr>
        <w:t>对于一般性故障（不影响基本业务功能），1小时内予以解决。</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baseline"/>
        <w:rPr>
          <w:rFonts w:hint="eastAsia" w:ascii="宋体" w:hAnsi="宋体" w:eastAsia="宋体" w:cs="宋体"/>
          <w:bCs/>
          <w:kern w:val="0"/>
          <w:sz w:val="21"/>
          <w:szCs w:val="21"/>
        </w:rPr>
      </w:pPr>
      <w:r>
        <w:rPr>
          <w:rFonts w:hint="eastAsia" w:ascii="宋体" w:hAnsi="宋体" w:eastAsia="宋体" w:cs="宋体"/>
          <w:bCs/>
          <w:kern w:val="0"/>
          <w:sz w:val="21"/>
          <w:szCs w:val="21"/>
        </w:rPr>
        <w:t>对于重大性故障（系统整体停机），2小时内采取应急措施，恢复基本业务功能，48小时内予以全面解决。</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baseline"/>
        <w:rPr>
          <w:rFonts w:hint="eastAsia" w:ascii="宋体" w:hAnsi="宋体" w:eastAsia="宋体" w:cs="宋体"/>
          <w:bCs/>
          <w:kern w:val="0"/>
          <w:sz w:val="21"/>
          <w:szCs w:val="21"/>
        </w:rPr>
      </w:pPr>
      <w:r>
        <w:rPr>
          <w:rFonts w:hint="eastAsia" w:ascii="宋体" w:hAnsi="宋体" w:eastAsia="宋体" w:cs="宋体"/>
          <w:bCs/>
          <w:kern w:val="0"/>
          <w:sz w:val="21"/>
          <w:szCs w:val="21"/>
        </w:rPr>
        <w:t>维护年度内，由于一般性故障引起的业务功能非正常时间，要求累计不超过年度系统运行时间的5%；由于重大故障引起的基本业务功能中断时间，要求累计不超过年度系统运行时间的2%。</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baseline"/>
        <w:rPr>
          <w:rFonts w:hint="eastAsia" w:ascii="宋体" w:hAnsi="宋体" w:eastAsia="宋体" w:cs="宋体"/>
          <w:color w:val="FF0000"/>
          <w:kern w:val="0"/>
          <w:sz w:val="21"/>
          <w:szCs w:val="21"/>
        </w:rPr>
      </w:pPr>
      <w:r>
        <w:rPr>
          <w:rFonts w:hint="eastAsia" w:ascii="宋体" w:hAnsi="宋体" w:eastAsia="宋体" w:cs="宋体"/>
          <w:bCs/>
          <w:kern w:val="0"/>
          <w:sz w:val="21"/>
          <w:szCs w:val="21"/>
        </w:rPr>
        <w:t>对重大性故障，故障全面解决后48小时内，提供故障分析报告。</w:t>
      </w:r>
      <w:bookmarkEnd w:id="71"/>
    </w:p>
    <w:p>
      <w:pPr>
        <w:pStyle w:val="62"/>
        <w:rPr>
          <w:rFonts w:hint="eastAsia"/>
          <w:lang w:val="en-US" w:eastAsia="zh-CN"/>
        </w:rPr>
      </w:pPr>
    </w:p>
    <w:p>
      <w:pPr>
        <w:keepNext/>
        <w:keepLines/>
        <w:pageBreakBefore w:val="0"/>
        <w:widowControl w:val="0"/>
        <w:numPr>
          <w:ilvl w:val="1"/>
          <w:numId w:val="0"/>
        </w:numPr>
        <w:tabs>
          <w:tab w:val="left" w:pos="0"/>
          <w:tab w:val="left" w:pos="420"/>
        </w:tabs>
        <w:kinsoku/>
        <w:wordWrap/>
        <w:overflowPunct/>
        <w:topLinePunct w:val="0"/>
        <w:autoSpaceDE/>
        <w:autoSpaceDN/>
        <w:bidi w:val="0"/>
        <w:adjustRightInd/>
        <w:snapToGrid/>
        <w:spacing w:before="0" w:after="0" w:line="360" w:lineRule="auto"/>
        <w:ind w:left="0" w:leftChars="0" w:firstLine="422" w:firstLineChars="200"/>
        <w:jc w:val="both"/>
        <w:textAlignment w:val="auto"/>
        <w:outlineLvl w:val="0"/>
        <w:rPr>
          <w:rFonts w:hint="default" w:ascii="宋体" w:hAnsi="宋体" w:eastAsia="宋体" w:cs="宋体"/>
          <w:b/>
          <w:bCs w:val="0"/>
          <w:kern w:val="2"/>
          <w:sz w:val="21"/>
          <w:szCs w:val="21"/>
          <w:lang w:val="en-US" w:eastAsia="zh-CN" w:bidi="ar-SA"/>
        </w:rPr>
      </w:pPr>
      <w:r>
        <w:rPr>
          <w:rFonts w:hint="eastAsia" w:ascii="宋体" w:hAnsi="宋体" w:eastAsia="宋体" w:cs="宋体"/>
          <w:b/>
          <w:bCs w:val="0"/>
          <w:kern w:val="2"/>
          <w:sz w:val="21"/>
          <w:szCs w:val="21"/>
          <w:lang w:val="en-US" w:eastAsia="zh-CN" w:bidi="ar-SA"/>
        </w:rPr>
        <w:t>十三、其他要求</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kern w:val="2"/>
          <w:sz w:val="21"/>
          <w:szCs w:val="21"/>
          <w:lang w:val="en-US" w:eastAsia="zh-CN" w:bidi="ar-SA"/>
        </w:rPr>
      </w:pPr>
      <w:bookmarkStart w:id="72" w:name="_Toc92270277"/>
      <w:r>
        <w:rPr>
          <w:rFonts w:hint="eastAsia" w:ascii="宋体" w:hAnsi="宋体" w:eastAsia="宋体" w:cs="宋体"/>
          <w:kern w:val="2"/>
          <w:sz w:val="21"/>
          <w:szCs w:val="21"/>
          <w:lang w:val="en-US" w:eastAsia="zh-CN" w:bidi="ar-SA"/>
        </w:rPr>
        <w:t>报价要求：报价应包含国家规定的用工人员的开支和成本、补贴、加班费、住宿费、交通费、保险费、利润、设备使用费、风险费、设备租赁费等。采购人不再支付采购确定后其他任何的费用。</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投标人不得转包。</w:t>
      </w:r>
    </w:p>
    <w:bookmarkEnd w:id="72"/>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cs="宋体"/>
          <w:sz w:val="21"/>
          <w:lang w:val="en-US" w:eastAsia="zh-CN"/>
        </w:rPr>
      </w:pPr>
      <w:r>
        <w:rPr>
          <w:rFonts w:hint="eastAsia" w:ascii="宋体" w:hAnsi="宋体" w:eastAsia="宋体" w:cs="宋体"/>
          <w:kern w:val="2"/>
          <w:sz w:val="21"/>
          <w:szCs w:val="21"/>
          <w:lang w:val="en-US" w:eastAsia="zh-CN" w:bidi="ar-SA"/>
        </w:rPr>
        <w:t>需求理解：</w:t>
      </w:r>
      <w:r>
        <w:rPr>
          <w:rFonts w:hint="eastAsia" w:ascii="宋体" w:hAnsi="宋体" w:cs="宋体"/>
          <w:sz w:val="21"/>
          <w:lang w:val="en-US" w:eastAsia="zh-CN"/>
        </w:rPr>
        <w:t>响应供应商对本项目运维对象、服务范围、运维服务要求、重点难点有所分析，能理解和把握采购人内在需求并提出合理化建议。</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服务方案要求</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涉及本项目的作业标准、规范等按照最新版本执行。</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响应供应商根据服务内容制定具有针对性的服务方案，</w:t>
      </w:r>
      <w:r>
        <w:rPr>
          <w:rFonts w:hint="eastAsia" w:ascii="宋体" w:hAnsi="宋体" w:cs="宋体"/>
          <w:sz w:val="21"/>
          <w:szCs w:val="24"/>
        </w:rPr>
        <w:t>包括但不限于</w:t>
      </w:r>
      <w:r>
        <w:rPr>
          <w:rFonts w:hint="eastAsia" w:ascii="宋体" w:hAnsi="宋体" w:cs="宋体"/>
          <w:sz w:val="21"/>
        </w:rPr>
        <w:t>进度安排、各步骤节点、项目组织机构、人力物力配置、职能分工、项目管理措施、质量承诺等</w:t>
      </w:r>
      <w:r>
        <w:rPr>
          <w:rFonts w:hint="eastAsia" w:ascii="宋体" w:hAnsi="宋体" w:cs="宋体"/>
          <w:sz w:val="21"/>
          <w:szCs w:val="24"/>
        </w:rPr>
        <w:t>。</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项目管理组织架构及管理制度</w:t>
      </w:r>
    </w:p>
    <w:p>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项目管理组织架构：项目管理组织架构及其运作方法设计科学、合理。</w:t>
      </w:r>
    </w:p>
    <w:p>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管理制度：用于支撑服务开展的管理制度合理、完备。</w:t>
      </w:r>
    </w:p>
    <w:p>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廉洁要求：响应供应商提供内部廉洁制度，确保在服务期间严格遵守相关国家、上海市、行业以及内部廉洁制度和要求。</w:t>
      </w:r>
    </w:p>
    <w:p>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kern w:val="2"/>
          <w:sz w:val="21"/>
          <w:szCs w:val="21"/>
          <w:lang w:val="en-US" w:eastAsia="zh-CN" w:bidi="ar-SA"/>
        </w:rPr>
      </w:pPr>
      <w:bookmarkStart w:id="73" w:name="_Toc92270280"/>
      <w:bookmarkStart w:id="74" w:name="_Toc76041118"/>
      <w:r>
        <w:rPr>
          <w:rFonts w:hint="eastAsia" w:ascii="宋体" w:hAnsi="宋体" w:eastAsia="宋体" w:cs="宋体"/>
          <w:kern w:val="2"/>
          <w:sz w:val="21"/>
          <w:szCs w:val="21"/>
          <w:lang w:val="en-US" w:eastAsia="zh-CN" w:bidi="ar-SA"/>
        </w:rPr>
        <w:t>档案要求：建立健全服务档案资料，及时向采购人报告；当采购人需要时，响应供应商须无条件地及时提供。</w:t>
      </w:r>
    </w:p>
    <w:p>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响应供应商提供的服务应符合国家、地方及相关政府管理部门和行业与本项目有关的各项服务标准、规范、规章要求，并满足采购人实际需求，标准、规范等不一致的，以要求高的为准。</w:t>
      </w:r>
    </w:p>
    <w:bookmarkEnd w:id="73"/>
    <w:bookmarkEnd w:id="74"/>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保密措施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rPr>
      </w:pPr>
      <w:r>
        <w:rPr>
          <w:rFonts w:hint="eastAsia" w:ascii="宋体" w:hAnsi="宋体" w:eastAsia="宋体" w:cs="宋体"/>
          <w:sz w:val="21"/>
        </w:rPr>
        <w:t>供应商必须和采购人签订保密协议，供应商必须要与参加此次项目的所有项目组成员签订保密协议，在合同签订时一并提供给采购人。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rPr>
      </w:pPr>
      <w:r>
        <w:rPr>
          <w:rFonts w:hint="eastAsia" w:ascii="宋体" w:hAnsi="宋体" w:eastAsia="宋体" w:cs="宋体"/>
          <w:sz w:val="21"/>
        </w:rPr>
        <w:t>供应商具体实施项目中的重要资料和结果，在项目实施期间和实施结束后，供应商不得带离该地点。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rPr>
      </w:pPr>
      <w:r>
        <w:rPr>
          <w:rFonts w:hint="eastAsia" w:ascii="宋体" w:hAnsi="宋体" w:eastAsia="宋体" w:cs="宋体"/>
          <w:sz w:val="21"/>
        </w:rPr>
        <w:t>供应商对本规范书中的内容及在响应过程中接触的设备信息、数据资料等负有保密责任，不得泄露给任何第三方。无论供应商成交与否，其对上述内容的保密责任将长期存在。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rPr>
      </w:pPr>
      <w:r>
        <w:rPr>
          <w:rFonts w:hint="eastAsia" w:ascii="宋体" w:hAnsi="宋体" w:eastAsia="宋体" w:cs="宋体"/>
          <w:sz w:val="21"/>
        </w:rPr>
        <w:t>在项目执行过程中，采购人与供应商双方需签署数据保密协议。采购人向服务方提供的所有相关数据内容，仅用于与项目有关的用途，服务方不得将数据用于项目以外的任何用途。除为执行项目目的外，服务方不得对数据进行复制、使用。供应商不得向任何单位和个人泄露采购人的任何数据信息。对所有采购人存放于服务方处的数据包括服务运行产生的数据严格保密。不得以存储介质，网络等途径传播致采购人不可控制区域。如果这些数据未经采购人许可披露给他人所造成对采购人的损失，采购人有权通过法律途径向供应商索赔。</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付款方式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合同签订后，支付合同款项的30%；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0"/>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服务期过半，</w:t>
      </w:r>
      <w:r>
        <w:rPr>
          <w:rFonts w:hint="eastAsia" w:ascii="宋体" w:hAnsi="宋体" w:eastAsia="宋体" w:cs="宋体"/>
          <w:kern w:val="2"/>
          <w:sz w:val="21"/>
          <w:szCs w:val="21"/>
          <w:highlight w:val="none"/>
          <w:lang w:val="en-US" w:eastAsia="zh-CN" w:bidi="ar-SA"/>
        </w:rPr>
        <w:t>支付合同款项的</w:t>
      </w:r>
      <w:r>
        <w:rPr>
          <w:rFonts w:hint="eastAsia" w:ascii="宋体" w:hAnsi="宋体" w:cs="宋体"/>
          <w:kern w:val="2"/>
          <w:sz w:val="21"/>
          <w:szCs w:val="21"/>
          <w:highlight w:val="none"/>
          <w:lang w:val="en-US" w:eastAsia="zh-CN" w:bidi="ar-SA"/>
        </w:rPr>
        <w:t>4</w:t>
      </w:r>
      <w:r>
        <w:rPr>
          <w:rFonts w:hint="eastAsia" w:ascii="宋体" w:hAnsi="宋体" w:eastAsia="宋体" w:cs="宋体"/>
          <w:kern w:val="2"/>
          <w:sz w:val="21"/>
          <w:szCs w:val="21"/>
          <w:highlight w:val="none"/>
          <w:lang w:val="en-US" w:eastAsia="zh-CN" w:bidi="ar-SA"/>
        </w:rPr>
        <w:t>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验收合格后，支付合同款项的</w:t>
      </w:r>
      <w:r>
        <w:rPr>
          <w:rFonts w:hint="eastAsia" w:ascii="宋体" w:hAnsi="宋体" w:cs="宋体"/>
          <w:kern w:val="2"/>
          <w:sz w:val="21"/>
          <w:szCs w:val="21"/>
          <w:highlight w:val="none"/>
          <w:lang w:val="en-US" w:eastAsia="zh-CN" w:bidi="ar-SA"/>
        </w:rPr>
        <w:t>30</w:t>
      </w:r>
      <w:r>
        <w:rPr>
          <w:rFonts w:hint="eastAsia" w:ascii="宋体" w:hAnsi="宋体" w:eastAsia="宋体" w:cs="宋体"/>
          <w:kern w:val="2"/>
          <w:sz w:val="21"/>
          <w:szCs w:val="21"/>
          <w:highlight w:val="none"/>
          <w:lang w:val="en-US" w:eastAsia="zh-CN" w:bidi="ar-SA"/>
        </w:rPr>
        <w:t>%。</w:t>
      </w:r>
    </w:p>
    <w:sectPr>
      <w:footerReference r:id="rId10" w:type="default"/>
      <w:pgSz w:w="11906" w:h="16838"/>
      <w:pgMar w:top="1440" w:right="1800" w:bottom="1440" w:left="1800" w:header="851" w:footer="992"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H Yg 2gj">
    <w:altName w:val="宋体"/>
    <w:panose1 w:val="00000000000000000000"/>
    <w:charset w:val="86"/>
    <w:family w:val="roma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2</w:t>
                    </w:r>
                    <w:r>
                      <w:fldChar w:fldCharType="end"/>
                    </w:r>
                  </w:p>
                </w:txbxContent>
              </v:textbox>
            </v:shape>
          </w:pict>
        </mc:Fallback>
      </mc:AlternateContent>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hint="eastAsia"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ascii="Times New Roman" w:hAnsi="Times New Roman" w:eastAsia="宋体" w:cs="Calibri"/>
                              <w:sz w:val="18"/>
                            </w:rPr>
                          </w:pPr>
                          <w:r>
                            <w:rPr>
                              <w:rFonts w:hint="eastAsia" w:cs="Calibri"/>
                              <w:sz w:val="18"/>
                            </w:rPr>
                            <w:fldChar w:fldCharType="begin"/>
                          </w:r>
                          <w:r>
                            <w:rPr>
                              <w:rFonts w:hint="eastAsia" w:cs="Calibri"/>
                              <w:sz w:val="18"/>
                            </w:rPr>
                            <w:instrText xml:space="preserve"> PAGE  \* MERGEFORMAT </w:instrText>
                          </w:r>
                          <w:r>
                            <w:rPr>
                              <w:rFonts w:hint="eastAsia" w:cs="Calibri"/>
                              <w:sz w:val="18"/>
                            </w:rPr>
                            <w:fldChar w:fldCharType="separate"/>
                          </w:r>
                          <w:r>
                            <w:rPr>
                              <w:rFonts w:hint="eastAsia" w:cs="Calibri"/>
                              <w:sz w:val="18"/>
                            </w:rPr>
                            <w:t>4</w:t>
                          </w:r>
                          <w:r>
                            <w:rPr>
                              <w:rFonts w:hint="eastAsia" w:cs="Calibri"/>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1UKM/SAQAApQMAAA4AAABkcnMvZTJvRG9jLnhtbK1TS27bMBDd&#10;F+gdCO5rKQbSCoblIIWRokDRFkhzAJqiLAL8gaQt+QLtDbrqpvuey+foIyU5RbrJIhtqODN8M+/N&#10;aH0zaEWOwgdpTU2vFiUlwnDbSLOv6cO3uzcVJSEy0zBljajpSQR6s3n9at27lVjazqpGeAIQE1a9&#10;q2kXo1sVReCd0CwsrBMGwdZ6zSKufl80nvVA16pYluXbore+cd5yEQK82zFIJ0T/HEDbtpKLreUH&#10;LUwcUb1QLIJS6KQLdJO7bVvB45e2DSISVVMwjflEEdi7dBabNVvtPXOd5FML7DktPOGkmTQoeoHa&#10;ssjIwcv/oLTk3gbbxgW3uhiJZEXA4qp8os19x5zIXCB1cBfRw8vB8s/Hr57IBpsASQzTmPj554/z&#10;rz/n398JfBCod2GFvHuHzDi8twOSZ3+AM/EeWq/TF4wI4sA6XeQVQyQ8PaqWVVUixBGbL8AvHp87&#10;H+IHYTVJRk095pdlZcdPIY6pc0qqZuydVCrPUBnSA/W6enedX1xCQFcGRRKLsdtkxWE3TNR2tjmB&#10;WY8lqKnBzlOiPhpojE7jbPjZ2M3GwXm57/JCpVaCuz1EtJO7TBVG2Kkwppd5TpuW1uPfe856/Ls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3VQoz9IBAAClAwAADgAAAAAAAAABACAAAAAi&#10;AQAAZHJzL2Uyb0RvYy54bWxQSwUGAAAAAAYABgBZAQAAZgUAAAAA&#10;">
              <v:fill on="f" focussize="0,0"/>
              <v:stroke on="f" weight="1.25pt"/>
              <v:imagedata o:title=""/>
              <o:lock v:ext="edit" aspectratio="f"/>
              <v:textbox inset="0mm,0mm,0mm,0mm" style="mso-fit-shape-to-text:t;">
                <w:txbxContent>
                  <w:p>
                    <w:pPr>
                      <w:snapToGrid w:val="0"/>
                      <w:rPr>
                        <w:rFonts w:hint="eastAsia" w:ascii="Times New Roman" w:hAnsi="Times New Roman" w:eastAsia="宋体" w:cs="Calibri"/>
                        <w:sz w:val="18"/>
                      </w:rPr>
                    </w:pPr>
                    <w:r>
                      <w:rPr>
                        <w:rFonts w:hint="eastAsia" w:cs="Calibri"/>
                        <w:sz w:val="18"/>
                      </w:rPr>
                      <w:fldChar w:fldCharType="begin"/>
                    </w:r>
                    <w:r>
                      <w:rPr>
                        <w:rFonts w:hint="eastAsia" w:cs="Calibri"/>
                        <w:sz w:val="18"/>
                      </w:rPr>
                      <w:instrText xml:space="preserve"> PAGE  \* MERGEFORMAT </w:instrText>
                    </w:r>
                    <w:r>
                      <w:rPr>
                        <w:rFonts w:hint="eastAsia" w:cs="Calibri"/>
                        <w:sz w:val="18"/>
                      </w:rPr>
                      <w:fldChar w:fldCharType="separate"/>
                    </w:r>
                    <w:r>
                      <w:rPr>
                        <w:rFonts w:hint="eastAsia" w:cs="Calibri"/>
                        <w:sz w:val="18"/>
                      </w:rPr>
                      <w:t>4</w:t>
                    </w:r>
                    <w:r>
                      <w:rPr>
                        <w:rFonts w:hint="eastAsia" w:cs="Calibri"/>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left"/>
                            <w:rPr>
                              <w:rFonts w:ascii="Times New Roman" w:hAnsi="Times New Roman" w:eastAsia="宋体" w:cs="Times New Roman"/>
                              <w:kern w:val="2"/>
                              <w:sz w:val="18"/>
                              <w:szCs w:val="18"/>
                              <w:lang w:val="en-US" w:eastAsia="zh-CN" w:bidi="ar-SA"/>
                            </w:rPr>
                          </w:pPr>
                          <w:r>
                            <w:rPr>
                              <w:rFonts w:cs="Times New Roman"/>
                              <w:kern w:val="2"/>
                              <w:sz w:val="18"/>
                              <w:szCs w:val="18"/>
                              <w:lang w:val="en-US" w:eastAsia="zh-CN" w:bidi="ar-SA"/>
                            </w:rPr>
                            <w:fldChar w:fldCharType="begin"/>
                          </w:r>
                          <w:r>
                            <w:rPr>
                              <w:rFonts w:cs="Times New Roman"/>
                              <w:kern w:val="2"/>
                              <w:sz w:val="18"/>
                              <w:szCs w:val="18"/>
                              <w:lang w:val="en-US" w:eastAsia="zh-CN" w:bidi="ar-SA"/>
                            </w:rPr>
                            <w:instrText xml:space="preserve"> PAGE  \* MERGEFORMAT </w:instrText>
                          </w:r>
                          <w:r>
                            <w:rPr>
                              <w:rFonts w:cs="Times New Roman"/>
                              <w:kern w:val="2"/>
                              <w:sz w:val="18"/>
                              <w:szCs w:val="18"/>
                              <w:lang w:val="en-US" w:eastAsia="zh-CN" w:bidi="ar-SA"/>
                            </w:rPr>
                            <w:fldChar w:fldCharType="separate"/>
                          </w:r>
                          <w:r>
                            <w:rPr>
                              <w:rFonts w:cs="Times New Roman"/>
                              <w:kern w:val="2"/>
                              <w:sz w:val="18"/>
                              <w:szCs w:val="18"/>
                              <w:lang w:val="en-US" w:eastAsia="zh-CN" w:bidi="ar-SA"/>
                            </w:rPr>
                            <w:t>20</w:t>
                          </w:r>
                          <w:r>
                            <w:rPr>
                              <w:rFonts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widowControl w:val="0"/>
                      <w:snapToGrid w:val="0"/>
                      <w:jc w:val="left"/>
                      <w:rPr>
                        <w:rFonts w:ascii="Times New Roman" w:hAnsi="Times New Roman" w:eastAsia="宋体" w:cs="Times New Roman"/>
                        <w:kern w:val="2"/>
                        <w:sz w:val="18"/>
                        <w:szCs w:val="18"/>
                        <w:lang w:val="en-US" w:eastAsia="zh-CN" w:bidi="ar-SA"/>
                      </w:rPr>
                    </w:pPr>
                    <w:r>
                      <w:rPr>
                        <w:rFonts w:cs="Times New Roman"/>
                        <w:kern w:val="2"/>
                        <w:sz w:val="18"/>
                        <w:szCs w:val="18"/>
                        <w:lang w:val="en-US" w:eastAsia="zh-CN" w:bidi="ar-SA"/>
                      </w:rPr>
                      <w:fldChar w:fldCharType="begin"/>
                    </w:r>
                    <w:r>
                      <w:rPr>
                        <w:rFonts w:cs="Times New Roman"/>
                        <w:kern w:val="2"/>
                        <w:sz w:val="18"/>
                        <w:szCs w:val="18"/>
                        <w:lang w:val="en-US" w:eastAsia="zh-CN" w:bidi="ar-SA"/>
                      </w:rPr>
                      <w:instrText xml:space="preserve"> PAGE  \* MERGEFORMAT </w:instrText>
                    </w:r>
                    <w:r>
                      <w:rPr>
                        <w:rFonts w:cs="Times New Roman"/>
                        <w:kern w:val="2"/>
                        <w:sz w:val="18"/>
                        <w:szCs w:val="18"/>
                        <w:lang w:val="en-US" w:eastAsia="zh-CN" w:bidi="ar-SA"/>
                      </w:rPr>
                      <w:fldChar w:fldCharType="separate"/>
                    </w:r>
                    <w:r>
                      <w:rPr>
                        <w:rFonts w:cs="Times New Roman"/>
                        <w:kern w:val="2"/>
                        <w:sz w:val="18"/>
                        <w:szCs w:val="18"/>
                        <w:lang w:val="en-US" w:eastAsia="zh-CN" w:bidi="ar-SA"/>
                      </w:rPr>
                      <w:t>20</w:t>
                    </w:r>
                    <w:r>
                      <w:rPr>
                        <w:rFonts w:cs="Times New Roman"/>
                        <w:kern w:val="2"/>
                        <w:sz w:val="18"/>
                        <w:szCs w:val="18"/>
                        <w:lang w:val="en-US" w:eastAsia="zh-CN" w:bidi="ar-SA"/>
                      </w:rPr>
                      <w:fldChar w:fldCharType="end"/>
                    </w:r>
                  </w:p>
                </w:txbxContent>
              </v:textbox>
            </v:shape>
          </w:pict>
        </mc:Fallback>
      </mc:AlternateContent>
    </w:r>
  </w:p>
  <w:p>
    <w:pPr>
      <w:rPr>
        <w:rFonts w:ascii="Times New Roman" w:hAnsi="Times New Roman" w:eastAsia="宋体" w:cs="Times New Roman"/>
        <w:sz w:val="21"/>
        <w:szCs w:val="2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9"/>
                          </w:pPr>
                          <w:r>
                            <w:fldChar w:fldCharType="begin"/>
                          </w:r>
                          <w:r>
                            <w:instrText xml:space="preserve"> PAGE  \* MERGEFORMAT </w:instrText>
                          </w:r>
                          <w:r>
                            <w:fldChar w:fldCharType="separate"/>
                          </w:r>
                          <w:r>
                            <w:t>34</w:t>
                          </w:r>
                          <w: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gAAFM0BAACnAwAADgAAAGRycy9lMm9Eb2MueG1srVPNjtMwEL4j8Q6W&#10;7zRpD6hE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n5ijMnLD345fu3y49fl59f2Zsk&#10;Tx+woqqHQHVxuPMDLc0cRwom1kMLNn2JD6M8iXu+iquGyGS6tF6t1yWlJOVmh/CLx+sBML5V3rJk&#10;1Bzo9bKo4vQe41g6l6Ruzt9rY/ILGvdXgDDHiMorMN1OTMaJkxWH/TDR2/vmTOx6WoOaO9p6zsw7&#10;RyqnjZkNmI39bBwD6ENHgy7zlBhuj5FGypOmDiMsMUwOvV/mOu1aWpA//Vz1+H9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gAAFM0BAACnAwAADgAAAAAAAAABACAAAAAeAQAAZHJzL2Uy&#10;b0RvYy54bWxQSwUGAAAAAAYABgBZAQAAXQU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34</w:t>
                    </w:r>
                    <w:r>
                      <w:fldChar w:fldCharType="end"/>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hint="eastAsia" w:eastAsia="宋体"/>
        <w:lang w:eastAsia="zh-CN"/>
      </w:rPr>
    </w:pPr>
    <w:r>
      <w:pict>
        <v:shape id="PowerPlusWaterMarkObject35242" o:spid="_x0000_s1038" o:spt="136" type="#_x0000_t136" style="position:absolute;left:0pt;height:57.6pt;width:529.65pt;mso-position-horizontal:center;mso-position-horizontal-relative:margin;mso-position-vertical:center;mso-position-vertical-relative:margin;rotation:-2949120f;z-index:-251654144;mso-width-relative:page;mso-height-relative:page;" fillcolor="#C0C0C0" filled="t" stroked="f" coordsize="21600,21600">
          <v:path/>
          <v:fill on="t" opacity="32768f" focussize="0,0"/>
          <v:stroke on="f"/>
          <v:imagedata o:title=""/>
          <o:lock v:ext="edit" aspectratio="t"/>
          <v:textpath on="t" fitshape="t" fitpath="t" trim="t" xscale="f" string="上海申权招标咨询有限公司" style="font-family:微软雅黑;font-size:36pt;v-text-align:center;"/>
        </v:shape>
      </w:pict>
    </w:r>
    <w:r>
      <w:rPr>
        <w:rFonts w:hint="eastAsia" w:ascii="宋体" w:hAnsi="宋体"/>
      </w:rPr>
      <w:t>上海申权招标咨询有限公司</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项目编号：</w:t>
    </w:r>
    <w:r>
      <w:rPr>
        <w:rFonts w:hint="eastAsia" w:ascii="宋体" w:hAnsi="宋体"/>
        <w:lang w:eastAsia="zh-CN"/>
      </w:rPr>
      <w:t>SQ23-0682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hint="eastAsia" w:eastAsia="宋体"/>
        <w:lang w:eastAsia="zh-CN"/>
      </w:rPr>
    </w:pPr>
    <w:r>
      <w:rPr>
        <w:rFonts w:hint="eastAsia" w:ascii="宋体" w:hAnsi="宋体"/>
      </w:rPr>
      <w:t>上海申权招标咨询有限公司</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项目编号：</w:t>
    </w:r>
    <w:r>
      <w:rPr>
        <w:rFonts w:hint="eastAsia" w:ascii="宋体" w:hAnsi="宋体"/>
        <w:lang w:eastAsia="zh-CN"/>
      </w:rPr>
      <w:t>SQ23-0682</w:t>
    </w:r>
  </w:p>
  <w:p>
    <w:pPr>
      <w:pStyle w:val="30"/>
      <w:pBdr>
        <w:bottom w:val="none" w:color="auto" w:sz="0" w:space="1"/>
      </w:pBdr>
    </w:pPr>
    <w:r>
      <w:pict>
        <v:shape id="PowerPlusWaterMarkObject54498" o:spid="_x0000_s1039" o:spt="136" type="#_x0000_t136" style="position:absolute;left:0pt;height:57.6pt;width:529.65pt;mso-position-horizontal:center;mso-position-horizontal-relative:margin;mso-position-vertical:center;mso-position-vertical-relative:margin;rotation:-2949120f;z-index:-251653120;mso-width-relative:page;mso-height-relative:page;" fillcolor="#C0C0C0" filled="t" stroked="f" coordsize="21600,21600">
          <v:path/>
          <v:fill on="t" opacity="32768f" focussize="0,0"/>
          <v:stroke on="f"/>
          <v:imagedata o:title=""/>
          <o:lock v:ext="edit" aspectratio="t"/>
          <v:textpath on="t" fitshape="t" fitpath="t" trim="t" xscale="f" string="上海申权招标咨询有限公司" style="font-family:微软雅黑;font-size:3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284A5"/>
    <w:multiLevelType w:val="singleLevel"/>
    <w:tmpl w:val="86C284A5"/>
    <w:lvl w:ilvl="0" w:tentative="0">
      <w:start w:val="1"/>
      <w:numFmt w:val="decimal"/>
      <w:lvlText w:val="(%1)"/>
      <w:lvlJc w:val="left"/>
      <w:pPr>
        <w:ind w:left="425" w:hanging="425"/>
      </w:pPr>
      <w:rPr>
        <w:rFonts w:hint="default"/>
      </w:rPr>
    </w:lvl>
  </w:abstractNum>
  <w:abstractNum w:abstractNumId="1">
    <w:nsid w:val="A4CAD1C0"/>
    <w:multiLevelType w:val="singleLevel"/>
    <w:tmpl w:val="A4CAD1C0"/>
    <w:lvl w:ilvl="0" w:tentative="0">
      <w:start w:val="1"/>
      <w:numFmt w:val="chineseCounting"/>
      <w:suff w:val="nothing"/>
      <w:lvlText w:val="%1、"/>
      <w:lvlJc w:val="left"/>
      <w:pPr>
        <w:ind w:left="0" w:firstLine="420"/>
      </w:pPr>
      <w:rPr>
        <w:rFonts w:hint="eastAsia"/>
      </w:rPr>
    </w:lvl>
  </w:abstractNum>
  <w:abstractNum w:abstractNumId="2">
    <w:nsid w:val="A6A5BB4C"/>
    <w:multiLevelType w:val="singleLevel"/>
    <w:tmpl w:val="A6A5BB4C"/>
    <w:lvl w:ilvl="0" w:tentative="0">
      <w:start w:val="1"/>
      <w:numFmt w:val="decimal"/>
      <w:suff w:val="nothing"/>
      <w:lvlText w:val="%1．"/>
      <w:lvlJc w:val="left"/>
      <w:pPr>
        <w:ind w:left="0" w:firstLine="400"/>
      </w:pPr>
      <w:rPr>
        <w:rFonts w:hint="default"/>
      </w:rPr>
    </w:lvl>
  </w:abstractNum>
  <w:abstractNum w:abstractNumId="3">
    <w:nsid w:val="C1A56E7F"/>
    <w:multiLevelType w:val="singleLevel"/>
    <w:tmpl w:val="C1A56E7F"/>
    <w:lvl w:ilvl="0" w:tentative="0">
      <w:start w:val="1"/>
      <w:numFmt w:val="decimal"/>
      <w:suff w:val="space"/>
      <w:lvlText w:val="%1."/>
      <w:lvlJc w:val="left"/>
    </w:lvl>
  </w:abstractNum>
  <w:abstractNum w:abstractNumId="4">
    <w:nsid w:val="C36C8F2F"/>
    <w:multiLevelType w:val="singleLevel"/>
    <w:tmpl w:val="C36C8F2F"/>
    <w:lvl w:ilvl="0" w:tentative="0">
      <w:start w:val="1"/>
      <w:numFmt w:val="chineseCounting"/>
      <w:suff w:val="nothing"/>
      <w:lvlText w:val="第%1部分　"/>
      <w:lvlJc w:val="left"/>
      <w:pPr>
        <w:tabs>
          <w:tab w:val="left" w:pos="0"/>
        </w:tabs>
      </w:pPr>
      <w:rPr>
        <w:rFonts w:hint="eastAsia"/>
      </w:rPr>
    </w:lvl>
  </w:abstractNum>
  <w:abstractNum w:abstractNumId="5">
    <w:nsid w:val="DD9171BB"/>
    <w:multiLevelType w:val="singleLevel"/>
    <w:tmpl w:val="DD9171BB"/>
    <w:lvl w:ilvl="0" w:tentative="0">
      <w:start w:val="1"/>
      <w:numFmt w:val="decimal"/>
      <w:lvlText w:val="%1."/>
      <w:lvlJc w:val="left"/>
      <w:pPr>
        <w:ind w:left="425" w:hanging="425"/>
      </w:pPr>
      <w:rPr>
        <w:rFonts w:hint="default"/>
      </w:rPr>
    </w:lvl>
  </w:abstractNum>
  <w:abstractNum w:abstractNumId="6">
    <w:nsid w:val="00000015"/>
    <w:multiLevelType w:val="multilevel"/>
    <w:tmpl w:val="00000015"/>
    <w:lvl w:ilvl="0" w:tentative="0">
      <w:start w:val="1"/>
      <w:numFmt w:val="decimal"/>
      <w:lvlText w:val="(%1)"/>
      <w:lvlJc w:val="left"/>
      <w:pPr>
        <w:tabs>
          <w:tab w:val="left" w:pos="860"/>
        </w:tabs>
        <w:ind w:left="860" w:hanging="435"/>
      </w:pPr>
      <w:rPr>
        <w:rFonts w:cs="Times New Roman"/>
      </w:rPr>
    </w:lvl>
    <w:lvl w:ilvl="1" w:tentative="0">
      <w:start w:val="1"/>
      <w:numFmt w:val="lowerLetter"/>
      <w:lvlText w:val="%2)"/>
      <w:lvlJc w:val="left"/>
      <w:pPr>
        <w:tabs>
          <w:tab w:val="left" w:pos="1265"/>
        </w:tabs>
        <w:ind w:left="1265" w:hanging="420"/>
      </w:pPr>
      <w:rPr>
        <w:rFonts w:cs="Times New Roman"/>
      </w:rPr>
    </w:lvl>
    <w:lvl w:ilvl="2" w:tentative="0">
      <w:start w:val="1"/>
      <w:numFmt w:val="lowerRoman"/>
      <w:lvlText w:val="%3."/>
      <w:lvlJc w:val="right"/>
      <w:pPr>
        <w:tabs>
          <w:tab w:val="left" w:pos="1685"/>
        </w:tabs>
        <w:ind w:left="1685" w:hanging="420"/>
      </w:pPr>
      <w:rPr>
        <w:rFonts w:cs="Times New Roman"/>
      </w:rPr>
    </w:lvl>
    <w:lvl w:ilvl="3" w:tentative="0">
      <w:start w:val="1"/>
      <w:numFmt w:val="decimal"/>
      <w:lvlText w:val="%4."/>
      <w:lvlJc w:val="left"/>
      <w:pPr>
        <w:tabs>
          <w:tab w:val="left" w:pos="2105"/>
        </w:tabs>
        <w:ind w:left="2105" w:hanging="420"/>
      </w:pPr>
      <w:rPr>
        <w:rFonts w:cs="Times New Roman"/>
      </w:rPr>
    </w:lvl>
    <w:lvl w:ilvl="4" w:tentative="0">
      <w:start w:val="1"/>
      <w:numFmt w:val="lowerLetter"/>
      <w:lvlText w:val="%5)"/>
      <w:lvlJc w:val="left"/>
      <w:pPr>
        <w:tabs>
          <w:tab w:val="left" w:pos="2525"/>
        </w:tabs>
        <w:ind w:left="2525" w:hanging="420"/>
      </w:pPr>
      <w:rPr>
        <w:rFonts w:cs="Times New Roman"/>
      </w:rPr>
    </w:lvl>
    <w:lvl w:ilvl="5" w:tentative="0">
      <w:start w:val="1"/>
      <w:numFmt w:val="lowerRoman"/>
      <w:lvlText w:val="%6."/>
      <w:lvlJc w:val="right"/>
      <w:pPr>
        <w:tabs>
          <w:tab w:val="left" w:pos="2945"/>
        </w:tabs>
        <w:ind w:left="2945" w:hanging="420"/>
      </w:pPr>
      <w:rPr>
        <w:rFonts w:cs="Times New Roman"/>
      </w:rPr>
    </w:lvl>
    <w:lvl w:ilvl="6" w:tentative="0">
      <w:start w:val="1"/>
      <w:numFmt w:val="decimal"/>
      <w:lvlText w:val="%7."/>
      <w:lvlJc w:val="left"/>
      <w:pPr>
        <w:tabs>
          <w:tab w:val="left" w:pos="3365"/>
        </w:tabs>
        <w:ind w:left="3365" w:hanging="420"/>
      </w:pPr>
      <w:rPr>
        <w:rFonts w:cs="Times New Roman"/>
      </w:rPr>
    </w:lvl>
    <w:lvl w:ilvl="7" w:tentative="0">
      <w:start w:val="1"/>
      <w:numFmt w:val="lowerLetter"/>
      <w:lvlText w:val="%8)"/>
      <w:lvlJc w:val="left"/>
      <w:pPr>
        <w:tabs>
          <w:tab w:val="left" w:pos="3785"/>
        </w:tabs>
        <w:ind w:left="3785" w:hanging="420"/>
      </w:pPr>
      <w:rPr>
        <w:rFonts w:cs="Times New Roman"/>
      </w:rPr>
    </w:lvl>
    <w:lvl w:ilvl="8" w:tentative="0">
      <w:start w:val="1"/>
      <w:numFmt w:val="lowerRoman"/>
      <w:lvlText w:val="%9."/>
      <w:lvlJc w:val="right"/>
      <w:pPr>
        <w:tabs>
          <w:tab w:val="left" w:pos="4205"/>
        </w:tabs>
        <w:ind w:left="4205" w:hanging="420"/>
      </w:pPr>
      <w:rPr>
        <w:rFonts w:cs="Times New Roman"/>
      </w:rPr>
    </w:lvl>
  </w:abstractNum>
  <w:abstractNum w:abstractNumId="7">
    <w:nsid w:val="00000026"/>
    <w:multiLevelType w:val="multilevel"/>
    <w:tmpl w:val="00000026"/>
    <w:lvl w:ilvl="0" w:tentative="0">
      <w:start w:val="6"/>
      <w:numFmt w:val="decimal"/>
      <w:lvlText w:val="%1"/>
      <w:lvlJc w:val="left"/>
      <w:pPr>
        <w:tabs>
          <w:tab w:val="left" w:pos="360"/>
        </w:tabs>
        <w:ind w:left="360" w:hanging="360"/>
      </w:pPr>
      <w:rPr>
        <w:rFonts w:hint="eastAsia"/>
      </w:rPr>
    </w:lvl>
    <w:lvl w:ilvl="1" w:tentative="0">
      <w:start w:val="1"/>
      <w:numFmt w:val="decimal"/>
      <w:lvlText w:val="2.%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080"/>
        </w:tabs>
        <w:ind w:left="1080" w:hanging="108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440"/>
        </w:tabs>
        <w:ind w:left="1440" w:hanging="1440"/>
      </w:pPr>
      <w:rPr>
        <w:rFonts w:hint="eastAsia"/>
      </w:rPr>
    </w:lvl>
  </w:abstractNum>
  <w:abstractNum w:abstractNumId="8">
    <w:nsid w:val="08E3218C"/>
    <w:multiLevelType w:val="singleLevel"/>
    <w:tmpl w:val="08E3218C"/>
    <w:lvl w:ilvl="0" w:tentative="0">
      <w:start w:val="1"/>
      <w:numFmt w:val="decimal"/>
      <w:lvlText w:val="%1)"/>
      <w:lvlJc w:val="left"/>
      <w:pPr>
        <w:tabs>
          <w:tab w:val="left" w:pos="425"/>
        </w:tabs>
        <w:ind w:left="425" w:hanging="425"/>
      </w:pPr>
      <w:rPr>
        <w:rFonts w:hint="default"/>
      </w:rPr>
    </w:lvl>
  </w:abstractNum>
  <w:abstractNum w:abstractNumId="9">
    <w:nsid w:val="094F4BD5"/>
    <w:multiLevelType w:val="multilevel"/>
    <w:tmpl w:val="094F4BD5"/>
    <w:lvl w:ilvl="0" w:tentative="0">
      <w:start w:val="1"/>
      <w:numFmt w:val="decimal"/>
      <w:lvlText w:val="%1)"/>
      <w:lvlJc w:val="left"/>
      <w:pPr>
        <w:tabs>
          <w:tab w:val="left" w:pos="360"/>
        </w:tabs>
        <w:ind w:left="360" w:hanging="360"/>
      </w:pPr>
      <w:rPr>
        <w:rFonts w:hint="eastAsia"/>
      </w:rPr>
    </w:lvl>
    <w:lvl w:ilvl="1" w:tentative="0">
      <w:start w:val="1"/>
      <w:numFmt w:val="decimal"/>
      <w:lvlText w:val="%1.%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080"/>
        </w:tabs>
        <w:ind w:left="1080" w:hanging="108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440"/>
        </w:tabs>
        <w:ind w:left="1440" w:hanging="1440"/>
      </w:pPr>
      <w:rPr>
        <w:rFonts w:hint="eastAsia"/>
      </w:rPr>
    </w:lvl>
  </w:abstractNum>
  <w:abstractNum w:abstractNumId="10">
    <w:nsid w:val="0AF25B21"/>
    <w:multiLevelType w:val="singleLevel"/>
    <w:tmpl w:val="0AF25B21"/>
    <w:lvl w:ilvl="0" w:tentative="0">
      <w:start w:val="1"/>
      <w:numFmt w:val="decimal"/>
      <w:suff w:val="space"/>
      <w:lvlText w:val="(%1)"/>
      <w:lvlJc w:val="left"/>
      <w:pPr>
        <w:ind w:left="454" w:leftChars="0" w:hanging="454" w:firstLineChars="0"/>
      </w:pPr>
      <w:rPr>
        <w:rFonts w:hint="default"/>
      </w:rPr>
    </w:lvl>
  </w:abstractNum>
  <w:abstractNum w:abstractNumId="11">
    <w:nsid w:val="136F4507"/>
    <w:multiLevelType w:val="multilevel"/>
    <w:tmpl w:val="136F4507"/>
    <w:lvl w:ilvl="0" w:tentative="0">
      <w:start w:val="1"/>
      <w:numFmt w:val="chineseCountingThousand"/>
      <w:pStyle w:val="157"/>
      <w:suff w:val="space"/>
      <w:lvlText w:val="%1、"/>
      <w:lvlJc w:val="left"/>
      <w:pPr>
        <w:ind w:left="65" w:hanging="65"/>
      </w:pPr>
      <w:rPr>
        <w:rFonts w:hint="eastAsia"/>
      </w:rPr>
    </w:lvl>
    <w:lvl w:ilvl="1" w:tentative="0">
      <w:start w:val="1"/>
      <w:numFmt w:val="decimal"/>
      <w:suff w:val="space"/>
      <w:lvlText w:val="%2. "/>
      <w:lvlJc w:val="left"/>
      <w:pPr>
        <w:ind w:left="0" w:firstLine="0"/>
      </w:pPr>
      <w:rPr>
        <w:rFonts w:hint="eastAsia"/>
      </w:rPr>
    </w:lvl>
    <w:lvl w:ilvl="2" w:tentative="0">
      <w:start w:val="1"/>
      <w:numFmt w:val="decimal"/>
      <w:suff w:val="space"/>
      <w:lvlText w:val="%2.%3 "/>
      <w:lvlJc w:val="left"/>
      <w:pPr>
        <w:ind w:left="0" w:firstLine="0"/>
      </w:pPr>
      <w:rPr>
        <w:rFonts w:hint="eastAsia"/>
      </w:rPr>
    </w:lvl>
    <w:lvl w:ilvl="3" w:tentative="0">
      <w:start w:val="1"/>
      <w:numFmt w:val="decimal"/>
      <w:suff w:val="space"/>
      <w:lvlText w:val="%4、"/>
      <w:lvlJc w:val="left"/>
      <w:pPr>
        <w:ind w:left="0" w:firstLine="0"/>
      </w:pPr>
      <w:rPr>
        <w:rFonts w:hint="eastAsia" w:ascii="楷体_GB2312" w:hAnsi="楷体_GB2312" w:eastAsia="等线 Light"/>
        <w:b/>
        <w:i w:val="0"/>
        <w:sz w:val="28"/>
      </w:rPr>
    </w:lvl>
    <w:lvl w:ilvl="4" w:tentative="0">
      <w:start w:val="1"/>
      <w:numFmt w:val="decimal"/>
      <w:pStyle w:val="158"/>
      <w:suff w:val="nothing"/>
      <w:lvlText w:val="(%5)、"/>
      <w:lvlJc w:val="left"/>
      <w:pPr>
        <w:ind w:left="0" w:firstLine="0"/>
      </w:pPr>
      <w:rPr>
        <w:rFonts w:hint="eastAsia"/>
      </w:rPr>
    </w:lvl>
    <w:lvl w:ilvl="5" w:tentative="0">
      <w:start w:val="1"/>
      <w:numFmt w:val="decimal"/>
      <w:suff w:val="space"/>
      <w:lvlText w:val="%6)、"/>
      <w:lvlJc w:val="left"/>
      <w:pPr>
        <w:ind w:left="0" w:firstLine="0"/>
      </w:pPr>
      <w:rPr>
        <w:rFonts w:hint="eastAsia"/>
      </w:rPr>
    </w:lvl>
    <w:lvl w:ilvl="6" w:tentative="0">
      <w:start w:val="1"/>
      <w:numFmt w:val="decimalEnclosedCircle"/>
      <w:pStyle w:val="160"/>
      <w:suff w:val="nothing"/>
      <w:lvlText w:val="%7、"/>
      <w:lvlJc w:val="left"/>
      <w:pPr>
        <w:ind w:left="-518" w:firstLine="516"/>
      </w:pPr>
      <w:rPr>
        <w:rFonts w:hint="eastAsia" w:eastAsia="Calibri"/>
        <w:b w:val="0"/>
        <w:i w:val="0"/>
      </w:rPr>
    </w:lvl>
    <w:lvl w:ilvl="7" w:tentative="0">
      <w:start w:val="1"/>
      <w:numFmt w:val="decimal"/>
      <w:lvlRestart w:val="0"/>
      <w:suff w:val="space"/>
      <w:lvlText w:val="表%8"/>
      <w:lvlJc w:val="left"/>
      <w:pPr>
        <w:ind w:left="0" w:firstLine="0"/>
      </w:pPr>
      <w:rPr>
        <w:rFonts w:hint="eastAsia"/>
        <w:b w:val="0"/>
      </w:rPr>
    </w:lvl>
    <w:lvl w:ilvl="8" w:tentative="0">
      <w:start w:val="1"/>
      <w:numFmt w:val="decimal"/>
      <w:lvlRestart w:val="0"/>
      <w:suff w:val="space"/>
      <w:lvlText w:val="图%9"/>
      <w:lvlJc w:val="left"/>
      <w:pPr>
        <w:ind w:left="0" w:firstLine="0"/>
      </w:pPr>
      <w:rPr>
        <w:rFonts w:hint="eastAsia"/>
      </w:rPr>
    </w:lvl>
  </w:abstractNum>
  <w:abstractNum w:abstractNumId="12">
    <w:nsid w:val="22A53BBE"/>
    <w:multiLevelType w:val="multilevel"/>
    <w:tmpl w:val="22A53BBE"/>
    <w:lvl w:ilvl="0" w:tentative="0">
      <w:start w:val="1"/>
      <w:numFmt w:val="decimal"/>
      <w:pStyle w:val="124"/>
      <w:lvlText w:val="%1."/>
      <w:lvlJc w:val="left"/>
      <w:pPr>
        <w:tabs>
          <w:tab w:val="left" w:pos="425"/>
        </w:tabs>
        <w:ind w:left="425" w:hanging="425"/>
      </w:pPr>
    </w:lvl>
    <w:lvl w:ilvl="1" w:tentative="0">
      <w:start w:val="1"/>
      <w:numFmt w:val="decimal"/>
      <w:pStyle w:val="149"/>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3">
    <w:nsid w:val="26956BCC"/>
    <w:multiLevelType w:val="multilevel"/>
    <w:tmpl w:val="26956BCC"/>
    <w:lvl w:ilvl="0" w:tentative="0">
      <w:start w:val="1"/>
      <w:numFmt w:val="decimal"/>
      <w:lvlText w:val="%1)"/>
      <w:lvlJc w:val="left"/>
      <w:pPr>
        <w:tabs>
          <w:tab w:val="left" w:pos="360"/>
        </w:tabs>
        <w:ind w:left="360" w:hanging="360"/>
      </w:pPr>
      <w:rPr>
        <w:rFonts w:hint="eastAsia"/>
      </w:rPr>
    </w:lvl>
    <w:lvl w:ilvl="1" w:tentative="0">
      <w:start w:val="1"/>
      <w:numFmt w:val="decimal"/>
      <w:lvlText w:val="%1.%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080"/>
        </w:tabs>
        <w:ind w:left="1080" w:hanging="108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440"/>
        </w:tabs>
        <w:ind w:left="1440" w:hanging="1440"/>
      </w:pPr>
      <w:rPr>
        <w:rFonts w:hint="eastAsia"/>
      </w:rPr>
    </w:lvl>
  </w:abstractNum>
  <w:abstractNum w:abstractNumId="14">
    <w:nsid w:val="3DFB07D8"/>
    <w:multiLevelType w:val="singleLevel"/>
    <w:tmpl w:val="3DFB07D8"/>
    <w:lvl w:ilvl="0" w:tentative="0">
      <w:start w:val="1"/>
      <w:numFmt w:val="decimal"/>
      <w:lvlText w:val="(%1)"/>
      <w:lvlJc w:val="left"/>
      <w:pPr>
        <w:ind w:left="425" w:hanging="425"/>
      </w:pPr>
      <w:rPr>
        <w:rFonts w:hint="default"/>
      </w:rPr>
    </w:lvl>
  </w:abstractNum>
  <w:abstractNum w:abstractNumId="15">
    <w:nsid w:val="3E5208D7"/>
    <w:multiLevelType w:val="multilevel"/>
    <w:tmpl w:val="3E5208D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41885345"/>
    <w:multiLevelType w:val="multilevel"/>
    <w:tmpl w:val="41885345"/>
    <w:lvl w:ilvl="0" w:tentative="0">
      <w:start w:val="1"/>
      <w:numFmt w:val="decimal"/>
      <w:lvlText w:val="%1)"/>
      <w:lvlJc w:val="left"/>
      <w:pPr>
        <w:tabs>
          <w:tab w:val="left" w:pos="360"/>
        </w:tabs>
        <w:ind w:left="360" w:hanging="360"/>
      </w:pPr>
      <w:rPr>
        <w:rFonts w:hint="eastAsia"/>
      </w:rPr>
    </w:lvl>
    <w:lvl w:ilvl="1" w:tentative="0">
      <w:start w:val="1"/>
      <w:numFmt w:val="decimal"/>
      <w:lvlText w:val="%1.%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080"/>
        </w:tabs>
        <w:ind w:left="1080" w:hanging="108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440"/>
        </w:tabs>
        <w:ind w:left="1440" w:hanging="1440"/>
      </w:pPr>
      <w:rPr>
        <w:rFonts w:hint="eastAsia"/>
      </w:rPr>
    </w:lvl>
  </w:abstractNum>
  <w:abstractNum w:abstractNumId="17">
    <w:nsid w:val="42868202"/>
    <w:multiLevelType w:val="singleLevel"/>
    <w:tmpl w:val="42868202"/>
    <w:lvl w:ilvl="0" w:tentative="0">
      <w:start w:val="1"/>
      <w:numFmt w:val="decimal"/>
      <w:suff w:val="nothing"/>
      <w:lvlText w:val="%1．"/>
      <w:lvlJc w:val="left"/>
      <w:pPr>
        <w:ind w:left="0" w:firstLine="400"/>
      </w:pPr>
      <w:rPr>
        <w:rFonts w:hint="default"/>
      </w:rPr>
    </w:lvl>
  </w:abstractNum>
  <w:abstractNum w:abstractNumId="18">
    <w:nsid w:val="48ED7BC6"/>
    <w:multiLevelType w:val="singleLevel"/>
    <w:tmpl w:val="48ED7BC6"/>
    <w:lvl w:ilvl="0" w:tentative="0">
      <w:start w:val="1"/>
      <w:numFmt w:val="decimal"/>
      <w:suff w:val="space"/>
      <w:lvlText w:val="%1."/>
      <w:lvlJc w:val="left"/>
    </w:lvl>
  </w:abstractNum>
  <w:abstractNum w:abstractNumId="19">
    <w:nsid w:val="4A1A0F1C"/>
    <w:multiLevelType w:val="multilevel"/>
    <w:tmpl w:val="4A1A0F1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DCF39C0"/>
    <w:multiLevelType w:val="multilevel"/>
    <w:tmpl w:val="4DCF39C0"/>
    <w:lvl w:ilvl="0" w:tentative="0">
      <w:start w:val="1"/>
      <w:numFmt w:val="japaneseCounting"/>
      <w:pStyle w:val="153"/>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EA01B0D"/>
    <w:multiLevelType w:val="multilevel"/>
    <w:tmpl w:val="4EA01B0D"/>
    <w:lvl w:ilvl="0" w:tentative="0">
      <w:start w:val="1"/>
      <w:numFmt w:val="decimal"/>
      <w:lvlText w:val="%1."/>
      <w:lvlJc w:val="left"/>
      <w:pPr>
        <w:tabs>
          <w:tab w:val="left" w:pos="360"/>
        </w:tabs>
        <w:ind w:left="360" w:hanging="360"/>
      </w:pPr>
      <w:rPr>
        <w:rFonts w:hint="eastAsia"/>
      </w:rPr>
    </w:lvl>
    <w:lvl w:ilvl="1" w:tentative="0">
      <w:start w:val="0"/>
      <w:numFmt w:val="none"/>
      <w:lvlText w:val=""/>
      <w:lvlJc w:val="left"/>
      <w:pPr>
        <w:tabs>
          <w:tab w:val="left" w:pos="360"/>
        </w:tabs>
        <w:ind w:left="0" w:firstLine="0"/>
      </w:pPr>
      <w:rPr>
        <w:rFonts w:hint="eastAsia"/>
      </w:rPr>
    </w:lvl>
    <w:lvl w:ilvl="2" w:tentative="0">
      <w:start w:val="0"/>
      <w:numFmt w:val="none"/>
      <w:lvlText w:val=""/>
      <w:lvlJc w:val="left"/>
      <w:pPr>
        <w:tabs>
          <w:tab w:val="left" w:pos="360"/>
        </w:tabs>
        <w:ind w:left="0" w:firstLine="0"/>
      </w:pPr>
      <w:rPr>
        <w:rFonts w:hint="eastAsia"/>
      </w:rPr>
    </w:lvl>
    <w:lvl w:ilvl="3" w:tentative="0">
      <w:start w:val="0"/>
      <w:numFmt w:val="none"/>
      <w:lvlText w:val=""/>
      <w:lvlJc w:val="left"/>
      <w:pPr>
        <w:tabs>
          <w:tab w:val="left" w:pos="360"/>
        </w:tabs>
        <w:ind w:left="0" w:firstLine="0"/>
      </w:pPr>
      <w:rPr>
        <w:rFonts w:hint="eastAsia"/>
      </w:rPr>
    </w:lvl>
    <w:lvl w:ilvl="4" w:tentative="0">
      <w:start w:val="0"/>
      <w:numFmt w:val="none"/>
      <w:lvlText w:val=""/>
      <w:lvlJc w:val="left"/>
      <w:pPr>
        <w:tabs>
          <w:tab w:val="left" w:pos="360"/>
        </w:tabs>
        <w:ind w:left="0" w:firstLine="0"/>
      </w:pPr>
      <w:rPr>
        <w:rFonts w:hint="eastAsia"/>
      </w:rPr>
    </w:lvl>
    <w:lvl w:ilvl="5" w:tentative="0">
      <w:start w:val="0"/>
      <w:numFmt w:val="none"/>
      <w:lvlText w:val=""/>
      <w:lvlJc w:val="left"/>
      <w:pPr>
        <w:tabs>
          <w:tab w:val="left" w:pos="360"/>
        </w:tabs>
        <w:ind w:left="0" w:firstLine="0"/>
      </w:pPr>
      <w:rPr>
        <w:rFonts w:hint="eastAsia"/>
      </w:rPr>
    </w:lvl>
    <w:lvl w:ilvl="6" w:tentative="0">
      <w:start w:val="0"/>
      <w:numFmt w:val="none"/>
      <w:lvlText w:val=""/>
      <w:lvlJc w:val="left"/>
      <w:pPr>
        <w:tabs>
          <w:tab w:val="left" w:pos="360"/>
        </w:tabs>
        <w:ind w:left="0" w:firstLine="0"/>
      </w:pPr>
      <w:rPr>
        <w:rFonts w:hint="eastAsia"/>
      </w:rPr>
    </w:lvl>
    <w:lvl w:ilvl="7" w:tentative="0">
      <w:start w:val="0"/>
      <w:numFmt w:val="none"/>
      <w:lvlText w:val=""/>
      <w:lvlJc w:val="left"/>
      <w:pPr>
        <w:tabs>
          <w:tab w:val="left" w:pos="360"/>
        </w:tabs>
        <w:ind w:left="0" w:firstLine="0"/>
      </w:pPr>
      <w:rPr>
        <w:rFonts w:hint="eastAsia"/>
      </w:rPr>
    </w:lvl>
    <w:lvl w:ilvl="8" w:tentative="0">
      <w:start w:val="0"/>
      <w:numFmt w:val="none"/>
      <w:lvlText w:val=""/>
      <w:lvlJc w:val="left"/>
      <w:pPr>
        <w:tabs>
          <w:tab w:val="left" w:pos="360"/>
        </w:tabs>
        <w:ind w:left="0" w:firstLine="0"/>
      </w:pPr>
      <w:rPr>
        <w:rFonts w:hint="eastAsia"/>
      </w:rPr>
    </w:lvl>
  </w:abstractNum>
  <w:abstractNum w:abstractNumId="22">
    <w:nsid w:val="5407BEF2"/>
    <w:multiLevelType w:val="singleLevel"/>
    <w:tmpl w:val="5407BEF2"/>
    <w:lvl w:ilvl="0" w:tentative="0">
      <w:start w:val="1"/>
      <w:numFmt w:val="decimal"/>
      <w:lvlText w:val="%1)"/>
      <w:lvlJc w:val="left"/>
      <w:pPr>
        <w:tabs>
          <w:tab w:val="left" w:pos="425"/>
        </w:tabs>
        <w:ind w:left="425" w:hanging="425"/>
      </w:pPr>
      <w:rPr>
        <w:rFonts w:hint="default"/>
      </w:rPr>
    </w:lvl>
  </w:abstractNum>
  <w:abstractNum w:abstractNumId="23">
    <w:nsid w:val="5407BF09"/>
    <w:multiLevelType w:val="singleLevel"/>
    <w:tmpl w:val="5407BF09"/>
    <w:lvl w:ilvl="0" w:tentative="0">
      <w:start w:val="1"/>
      <w:numFmt w:val="decimal"/>
      <w:lvlText w:val="%1)"/>
      <w:lvlJc w:val="left"/>
      <w:pPr>
        <w:tabs>
          <w:tab w:val="left" w:pos="425"/>
        </w:tabs>
        <w:ind w:left="425" w:hanging="425"/>
      </w:pPr>
      <w:rPr>
        <w:rFonts w:hint="default"/>
      </w:rPr>
    </w:lvl>
  </w:abstractNum>
  <w:abstractNum w:abstractNumId="24">
    <w:nsid w:val="5A4438AC"/>
    <w:multiLevelType w:val="multilevel"/>
    <w:tmpl w:val="5A4438AC"/>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25">
    <w:nsid w:val="7259EE1A"/>
    <w:multiLevelType w:val="singleLevel"/>
    <w:tmpl w:val="7259EE1A"/>
    <w:lvl w:ilvl="0" w:tentative="0">
      <w:start w:val="1"/>
      <w:numFmt w:val="decimal"/>
      <w:lvlText w:val="(%1)"/>
      <w:lvlJc w:val="left"/>
      <w:pPr>
        <w:ind w:left="425" w:hanging="425"/>
      </w:pPr>
      <w:rPr>
        <w:rFonts w:hint="default"/>
      </w:rPr>
    </w:lvl>
  </w:abstractNum>
  <w:abstractNum w:abstractNumId="26">
    <w:nsid w:val="74047BDC"/>
    <w:multiLevelType w:val="multilevel"/>
    <w:tmpl w:val="74047BDC"/>
    <w:lvl w:ilvl="0" w:tentative="0">
      <w:start w:val="1"/>
      <w:numFmt w:val="decimal"/>
      <w:suff w:val="nothing"/>
      <w:lvlText w:val="%1"/>
      <w:lvlJc w:val="left"/>
      <w:pPr>
        <w:tabs>
          <w:tab w:val="left" w:pos="420"/>
        </w:tabs>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C504A7D"/>
    <w:multiLevelType w:val="multilevel"/>
    <w:tmpl w:val="7C504A7D"/>
    <w:lvl w:ilvl="0" w:tentative="0">
      <w:start w:val="1"/>
      <w:numFmt w:val="decimal"/>
      <w:lvlText w:val="(%1)"/>
      <w:lvlJc w:val="left"/>
      <w:pPr>
        <w:tabs>
          <w:tab w:val="left" w:pos="776"/>
        </w:tabs>
        <w:ind w:left="776" w:hanging="360"/>
      </w:pPr>
      <w:rPr>
        <w:rFonts w:hint="eastAsia"/>
      </w:rPr>
    </w:lvl>
    <w:lvl w:ilvl="1" w:tentative="0">
      <w:start w:val="1"/>
      <w:numFmt w:val="lowerLetter"/>
      <w:lvlText w:val="%2."/>
      <w:lvlJc w:val="left"/>
      <w:pPr>
        <w:tabs>
          <w:tab w:val="left" w:pos="1196"/>
        </w:tabs>
        <w:ind w:left="1196" w:hanging="360"/>
      </w:pPr>
      <w:rPr>
        <w:rFonts w:hint="eastAsia"/>
      </w:rPr>
    </w:lvl>
    <w:lvl w:ilvl="2" w:tentative="0">
      <w:start w:val="1"/>
      <w:numFmt w:val="lowerRoman"/>
      <w:lvlText w:val="%3."/>
      <w:lvlJc w:val="right"/>
      <w:pPr>
        <w:tabs>
          <w:tab w:val="left" w:pos="1676"/>
        </w:tabs>
        <w:ind w:left="1676" w:hanging="420"/>
      </w:pPr>
    </w:lvl>
    <w:lvl w:ilvl="3" w:tentative="0">
      <w:start w:val="1"/>
      <w:numFmt w:val="decimal"/>
      <w:lvlText w:val="%4."/>
      <w:lvlJc w:val="left"/>
      <w:pPr>
        <w:tabs>
          <w:tab w:val="left" w:pos="2096"/>
        </w:tabs>
        <w:ind w:left="2096" w:hanging="420"/>
      </w:pPr>
    </w:lvl>
    <w:lvl w:ilvl="4" w:tentative="0">
      <w:start w:val="1"/>
      <w:numFmt w:val="lowerLetter"/>
      <w:lvlText w:val="%5)"/>
      <w:lvlJc w:val="left"/>
      <w:pPr>
        <w:tabs>
          <w:tab w:val="left" w:pos="2516"/>
        </w:tabs>
        <w:ind w:left="2516" w:hanging="420"/>
      </w:pPr>
    </w:lvl>
    <w:lvl w:ilvl="5" w:tentative="0">
      <w:start w:val="1"/>
      <w:numFmt w:val="lowerRoman"/>
      <w:lvlText w:val="%6."/>
      <w:lvlJc w:val="right"/>
      <w:pPr>
        <w:tabs>
          <w:tab w:val="left" w:pos="2936"/>
        </w:tabs>
        <w:ind w:left="2936" w:hanging="420"/>
      </w:pPr>
    </w:lvl>
    <w:lvl w:ilvl="6" w:tentative="0">
      <w:start w:val="1"/>
      <w:numFmt w:val="decimal"/>
      <w:lvlText w:val="%7."/>
      <w:lvlJc w:val="left"/>
      <w:pPr>
        <w:tabs>
          <w:tab w:val="left" w:pos="3356"/>
        </w:tabs>
        <w:ind w:left="3356" w:hanging="420"/>
      </w:pPr>
    </w:lvl>
    <w:lvl w:ilvl="7" w:tentative="0">
      <w:start w:val="1"/>
      <w:numFmt w:val="lowerLetter"/>
      <w:lvlText w:val="%8)"/>
      <w:lvlJc w:val="left"/>
      <w:pPr>
        <w:tabs>
          <w:tab w:val="left" w:pos="3776"/>
        </w:tabs>
        <w:ind w:left="3776" w:hanging="420"/>
      </w:pPr>
    </w:lvl>
    <w:lvl w:ilvl="8" w:tentative="0">
      <w:start w:val="1"/>
      <w:numFmt w:val="lowerRoman"/>
      <w:lvlText w:val="%9."/>
      <w:lvlJc w:val="right"/>
      <w:pPr>
        <w:tabs>
          <w:tab w:val="left" w:pos="4196"/>
        </w:tabs>
        <w:ind w:left="4196" w:hanging="420"/>
      </w:pPr>
    </w:lvl>
  </w:abstractNum>
  <w:num w:numId="1">
    <w:abstractNumId w:val="24"/>
  </w:num>
  <w:num w:numId="2">
    <w:abstractNumId w:val="12"/>
  </w:num>
  <w:num w:numId="3">
    <w:abstractNumId w:val="20"/>
  </w:num>
  <w:num w:numId="4">
    <w:abstractNumId w:val="11"/>
  </w:num>
  <w:num w:numId="5">
    <w:abstractNumId w:val="4"/>
  </w:num>
  <w:num w:numId="6">
    <w:abstractNumId w:val="26"/>
  </w:num>
  <w:num w:numId="7">
    <w:abstractNumId w:val="21"/>
  </w:num>
  <w:num w:numId="8">
    <w:abstractNumId w:val="7"/>
  </w:num>
  <w:num w:numId="9">
    <w:abstractNumId w:val="19"/>
  </w:num>
  <w:num w:numId="10">
    <w:abstractNumId w:val="27"/>
  </w:num>
  <w:num w:numId="11">
    <w:abstractNumId w:val="6"/>
  </w:num>
  <w:num w:numId="12">
    <w:abstractNumId w:val="9"/>
  </w:num>
  <w:num w:numId="13">
    <w:abstractNumId w:val="16"/>
  </w:num>
  <w:num w:numId="14">
    <w:abstractNumId w:val="13"/>
  </w:num>
  <w:num w:numId="15">
    <w:abstractNumId w:val="22"/>
  </w:num>
  <w:num w:numId="16">
    <w:abstractNumId w:val="23"/>
  </w:num>
  <w:num w:numId="17">
    <w:abstractNumId w:val="8"/>
  </w:num>
  <w:num w:numId="18">
    <w:abstractNumId w:val="15"/>
  </w:num>
  <w:num w:numId="19">
    <w:abstractNumId w:val="1"/>
  </w:num>
  <w:num w:numId="20">
    <w:abstractNumId w:val="5"/>
  </w:num>
  <w:num w:numId="21">
    <w:abstractNumId w:val="3"/>
  </w:num>
  <w:num w:numId="22">
    <w:abstractNumId w:val="10"/>
  </w:num>
  <w:num w:numId="23">
    <w:abstractNumId w:val="18"/>
  </w:num>
  <w:num w:numId="24">
    <w:abstractNumId w:val="17"/>
  </w:num>
  <w:num w:numId="25">
    <w:abstractNumId w:val="0"/>
  </w:num>
  <w:num w:numId="26">
    <w:abstractNumId w:val="2"/>
  </w:num>
  <w:num w:numId="27">
    <w:abstractNumId w:val="14"/>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MyMjY0MjWyNLI0MzZT0lEKTi0uzszPAykwrAUAPnSY1SwAAAA="/>
    <w:docVar w:name="commondata" w:val="eyJoZGlkIjoiMjMzMmFmMTlmZDUzZDUxYWEyZjNiODZmN2VhMjYyODAifQ=="/>
  </w:docVars>
  <w:rsids>
    <w:rsidRoot w:val="008A719B"/>
    <w:rsid w:val="000016E1"/>
    <w:rsid w:val="000038D8"/>
    <w:rsid w:val="00004631"/>
    <w:rsid w:val="00004C65"/>
    <w:rsid w:val="00017B66"/>
    <w:rsid w:val="000210D4"/>
    <w:rsid w:val="000216CC"/>
    <w:rsid w:val="00021771"/>
    <w:rsid w:val="00021D95"/>
    <w:rsid w:val="00022235"/>
    <w:rsid w:val="00025C7E"/>
    <w:rsid w:val="00030DD3"/>
    <w:rsid w:val="0004322A"/>
    <w:rsid w:val="00046866"/>
    <w:rsid w:val="000515DD"/>
    <w:rsid w:val="0005296A"/>
    <w:rsid w:val="00055CFA"/>
    <w:rsid w:val="00056527"/>
    <w:rsid w:val="00060441"/>
    <w:rsid w:val="000670C4"/>
    <w:rsid w:val="00071389"/>
    <w:rsid w:val="00072D6F"/>
    <w:rsid w:val="00075F95"/>
    <w:rsid w:val="00080F7E"/>
    <w:rsid w:val="00084177"/>
    <w:rsid w:val="0008562E"/>
    <w:rsid w:val="00086EC0"/>
    <w:rsid w:val="000877F6"/>
    <w:rsid w:val="00087BFA"/>
    <w:rsid w:val="00092FA0"/>
    <w:rsid w:val="0009487F"/>
    <w:rsid w:val="000A7365"/>
    <w:rsid w:val="000A7AB4"/>
    <w:rsid w:val="000B41A9"/>
    <w:rsid w:val="000B4406"/>
    <w:rsid w:val="000B52A7"/>
    <w:rsid w:val="000C6583"/>
    <w:rsid w:val="000D5EE2"/>
    <w:rsid w:val="000E1601"/>
    <w:rsid w:val="000E348C"/>
    <w:rsid w:val="000E3528"/>
    <w:rsid w:val="000E4A49"/>
    <w:rsid w:val="000E5B09"/>
    <w:rsid w:val="000F0B1A"/>
    <w:rsid w:val="000F2490"/>
    <w:rsid w:val="000F2D3E"/>
    <w:rsid w:val="000F3FA4"/>
    <w:rsid w:val="000F45BE"/>
    <w:rsid w:val="001026A7"/>
    <w:rsid w:val="00104450"/>
    <w:rsid w:val="001076F8"/>
    <w:rsid w:val="00114B25"/>
    <w:rsid w:val="00115A23"/>
    <w:rsid w:val="00120A74"/>
    <w:rsid w:val="001225FA"/>
    <w:rsid w:val="00123AFA"/>
    <w:rsid w:val="00123D35"/>
    <w:rsid w:val="00124078"/>
    <w:rsid w:val="00124145"/>
    <w:rsid w:val="00130408"/>
    <w:rsid w:val="001316F4"/>
    <w:rsid w:val="00131F31"/>
    <w:rsid w:val="00132F05"/>
    <w:rsid w:val="00134890"/>
    <w:rsid w:val="00137035"/>
    <w:rsid w:val="0014283B"/>
    <w:rsid w:val="00143ECB"/>
    <w:rsid w:val="00144720"/>
    <w:rsid w:val="0014735F"/>
    <w:rsid w:val="00153725"/>
    <w:rsid w:val="00157D02"/>
    <w:rsid w:val="00163D83"/>
    <w:rsid w:val="0016544D"/>
    <w:rsid w:val="001655E9"/>
    <w:rsid w:val="001659D9"/>
    <w:rsid w:val="00166A86"/>
    <w:rsid w:val="001679DE"/>
    <w:rsid w:val="00177DC9"/>
    <w:rsid w:val="001828A7"/>
    <w:rsid w:val="00182A69"/>
    <w:rsid w:val="0018478D"/>
    <w:rsid w:val="0018494E"/>
    <w:rsid w:val="00184978"/>
    <w:rsid w:val="00185599"/>
    <w:rsid w:val="0018660F"/>
    <w:rsid w:val="00190EF6"/>
    <w:rsid w:val="00193C91"/>
    <w:rsid w:val="0019519D"/>
    <w:rsid w:val="001955F7"/>
    <w:rsid w:val="001A1E59"/>
    <w:rsid w:val="001A39DC"/>
    <w:rsid w:val="001B0F40"/>
    <w:rsid w:val="001B1DC5"/>
    <w:rsid w:val="001B3410"/>
    <w:rsid w:val="001B44CF"/>
    <w:rsid w:val="001B52CC"/>
    <w:rsid w:val="001B58A3"/>
    <w:rsid w:val="001B6B8A"/>
    <w:rsid w:val="001B701F"/>
    <w:rsid w:val="001C0024"/>
    <w:rsid w:val="001C0C17"/>
    <w:rsid w:val="001C15F6"/>
    <w:rsid w:val="001C4744"/>
    <w:rsid w:val="001D4C3F"/>
    <w:rsid w:val="001D534B"/>
    <w:rsid w:val="001E0EA8"/>
    <w:rsid w:val="001E25D5"/>
    <w:rsid w:val="001E2E08"/>
    <w:rsid w:val="001E6D79"/>
    <w:rsid w:val="001F06BE"/>
    <w:rsid w:val="001F0EBE"/>
    <w:rsid w:val="00200459"/>
    <w:rsid w:val="002045E6"/>
    <w:rsid w:val="00207A82"/>
    <w:rsid w:val="0021420E"/>
    <w:rsid w:val="00217A18"/>
    <w:rsid w:val="0022019E"/>
    <w:rsid w:val="00220BD1"/>
    <w:rsid w:val="00220C6D"/>
    <w:rsid w:val="002220FC"/>
    <w:rsid w:val="00223CB4"/>
    <w:rsid w:val="00230DBE"/>
    <w:rsid w:val="002321FF"/>
    <w:rsid w:val="00233309"/>
    <w:rsid w:val="00234180"/>
    <w:rsid w:val="0023564D"/>
    <w:rsid w:val="00235888"/>
    <w:rsid w:val="00237838"/>
    <w:rsid w:val="002408D9"/>
    <w:rsid w:val="00240D9E"/>
    <w:rsid w:val="0024137E"/>
    <w:rsid w:val="002427D3"/>
    <w:rsid w:val="002442E0"/>
    <w:rsid w:val="00245C65"/>
    <w:rsid w:val="00247227"/>
    <w:rsid w:val="00250334"/>
    <w:rsid w:val="00251E55"/>
    <w:rsid w:val="00254ABA"/>
    <w:rsid w:val="00255C51"/>
    <w:rsid w:val="00255E90"/>
    <w:rsid w:val="00256F37"/>
    <w:rsid w:val="00261741"/>
    <w:rsid w:val="00262434"/>
    <w:rsid w:val="00264ED7"/>
    <w:rsid w:val="00270FE0"/>
    <w:rsid w:val="0027131A"/>
    <w:rsid w:val="00272714"/>
    <w:rsid w:val="00274485"/>
    <w:rsid w:val="00275251"/>
    <w:rsid w:val="00277AC4"/>
    <w:rsid w:val="00281BC5"/>
    <w:rsid w:val="00285011"/>
    <w:rsid w:val="00287C46"/>
    <w:rsid w:val="00290F09"/>
    <w:rsid w:val="00295629"/>
    <w:rsid w:val="00296ACE"/>
    <w:rsid w:val="002A1748"/>
    <w:rsid w:val="002B0FC4"/>
    <w:rsid w:val="002C114D"/>
    <w:rsid w:val="002C3190"/>
    <w:rsid w:val="002C38F7"/>
    <w:rsid w:val="002C4CDA"/>
    <w:rsid w:val="002D078C"/>
    <w:rsid w:val="002D104D"/>
    <w:rsid w:val="002D332E"/>
    <w:rsid w:val="002D55CE"/>
    <w:rsid w:val="002E3543"/>
    <w:rsid w:val="002E3E23"/>
    <w:rsid w:val="002E63B3"/>
    <w:rsid w:val="002F55EF"/>
    <w:rsid w:val="002F655B"/>
    <w:rsid w:val="00300B5C"/>
    <w:rsid w:val="00301413"/>
    <w:rsid w:val="0030141D"/>
    <w:rsid w:val="00304989"/>
    <w:rsid w:val="00316213"/>
    <w:rsid w:val="003167C6"/>
    <w:rsid w:val="00317236"/>
    <w:rsid w:val="003279ED"/>
    <w:rsid w:val="00327DF3"/>
    <w:rsid w:val="0033608A"/>
    <w:rsid w:val="00336CA0"/>
    <w:rsid w:val="00343EAD"/>
    <w:rsid w:val="003460C8"/>
    <w:rsid w:val="00347CA4"/>
    <w:rsid w:val="00347F3D"/>
    <w:rsid w:val="00350297"/>
    <w:rsid w:val="00350631"/>
    <w:rsid w:val="00355CA9"/>
    <w:rsid w:val="00364995"/>
    <w:rsid w:val="003675A5"/>
    <w:rsid w:val="003678D2"/>
    <w:rsid w:val="003744CA"/>
    <w:rsid w:val="003753B7"/>
    <w:rsid w:val="0037636F"/>
    <w:rsid w:val="00382D39"/>
    <w:rsid w:val="00385DD9"/>
    <w:rsid w:val="003920B3"/>
    <w:rsid w:val="003949C7"/>
    <w:rsid w:val="00396D66"/>
    <w:rsid w:val="00396E3B"/>
    <w:rsid w:val="003A14FA"/>
    <w:rsid w:val="003A20BF"/>
    <w:rsid w:val="003A728C"/>
    <w:rsid w:val="003B5BD9"/>
    <w:rsid w:val="003B637D"/>
    <w:rsid w:val="003C22C9"/>
    <w:rsid w:val="003C26BF"/>
    <w:rsid w:val="003D1EF3"/>
    <w:rsid w:val="003D5AEA"/>
    <w:rsid w:val="003D6F80"/>
    <w:rsid w:val="003D7568"/>
    <w:rsid w:val="003E6533"/>
    <w:rsid w:val="003F0910"/>
    <w:rsid w:val="003F46D7"/>
    <w:rsid w:val="003F6F61"/>
    <w:rsid w:val="00410D58"/>
    <w:rsid w:val="00420AC3"/>
    <w:rsid w:val="00422E86"/>
    <w:rsid w:val="00423DF7"/>
    <w:rsid w:val="0042404A"/>
    <w:rsid w:val="00424F94"/>
    <w:rsid w:val="004358EB"/>
    <w:rsid w:val="00435D9E"/>
    <w:rsid w:val="004406EB"/>
    <w:rsid w:val="00441082"/>
    <w:rsid w:val="00441608"/>
    <w:rsid w:val="00443EC9"/>
    <w:rsid w:val="00444F0A"/>
    <w:rsid w:val="00445A5F"/>
    <w:rsid w:val="004479C6"/>
    <w:rsid w:val="00447FF1"/>
    <w:rsid w:val="004503CB"/>
    <w:rsid w:val="004503E3"/>
    <w:rsid w:val="00450783"/>
    <w:rsid w:val="004540AE"/>
    <w:rsid w:val="004621A1"/>
    <w:rsid w:val="004625D8"/>
    <w:rsid w:val="00462DBE"/>
    <w:rsid w:val="004636C6"/>
    <w:rsid w:val="004705AB"/>
    <w:rsid w:val="00471655"/>
    <w:rsid w:val="00472777"/>
    <w:rsid w:val="00474EC3"/>
    <w:rsid w:val="004760EA"/>
    <w:rsid w:val="00484466"/>
    <w:rsid w:val="00485F8A"/>
    <w:rsid w:val="004865CB"/>
    <w:rsid w:val="004877DA"/>
    <w:rsid w:val="00487D1E"/>
    <w:rsid w:val="00491859"/>
    <w:rsid w:val="00491C26"/>
    <w:rsid w:val="00491C8C"/>
    <w:rsid w:val="00491FDA"/>
    <w:rsid w:val="0049343F"/>
    <w:rsid w:val="004A091C"/>
    <w:rsid w:val="004A1245"/>
    <w:rsid w:val="004A12B8"/>
    <w:rsid w:val="004A3DB0"/>
    <w:rsid w:val="004B30D2"/>
    <w:rsid w:val="004B6913"/>
    <w:rsid w:val="004C13C2"/>
    <w:rsid w:val="004C1425"/>
    <w:rsid w:val="004C1D08"/>
    <w:rsid w:val="004C233C"/>
    <w:rsid w:val="004C234A"/>
    <w:rsid w:val="004C3CD6"/>
    <w:rsid w:val="004C5885"/>
    <w:rsid w:val="004C5DEF"/>
    <w:rsid w:val="004C7638"/>
    <w:rsid w:val="004D5CAC"/>
    <w:rsid w:val="004E24A2"/>
    <w:rsid w:val="004E389C"/>
    <w:rsid w:val="004E44C1"/>
    <w:rsid w:val="004E485C"/>
    <w:rsid w:val="004F0CC8"/>
    <w:rsid w:val="004F109B"/>
    <w:rsid w:val="004F4DE3"/>
    <w:rsid w:val="004F6493"/>
    <w:rsid w:val="00502BFD"/>
    <w:rsid w:val="00503126"/>
    <w:rsid w:val="005049CD"/>
    <w:rsid w:val="00505060"/>
    <w:rsid w:val="00510784"/>
    <w:rsid w:val="00512F95"/>
    <w:rsid w:val="0051332A"/>
    <w:rsid w:val="00513472"/>
    <w:rsid w:val="00514952"/>
    <w:rsid w:val="005168A3"/>
    <w:rsid w:val="00517991"/>
    <w:rsid w:val="00520CC2"/>
    <w:rsid w:val="00521422"/>
    <w:rsid w:val="005230F1"/>
    <w:rsid w:val="00523348"/>
    <w:rsid w:val="00524B26"/>
    <w:rsid w:val="00526F7A"/>
    <w:rsid w:val="00530C00"/>
    <w:rsid w:val="005321E8"/>
    <w:rsid w:val="00534E1F"/>
    <w:rsid w:val="00536F5A"/>
    <w:rsid w:val="005377E6"/>
    <w:rsid w:val="005427E2"/>
    <w:rsid w:val="00542819"/>
    <w:rsid w:val="00543B93"/>
    <w:rsid w:val="00544542"/>
    <w:rsid w:val="005468CD"/>
    <w:rsid w:val="005476C5"/>
    <w:rsid w:val="00555ED7"/>
    <w:rsid w:val="005605F5"/>
    <w:rsid w:val="00562C66"/>
    <w:rsid w:val="00572601"/>
    <w:rsid w:val="0057261D"/>
    <w:rsid w:val="00572DD3"/>
    <w:rsid w:val="00574BD4"/>
    <w:rsid w:val="00575CF2"/>
    <w:rsid w:val="005823EB"/>
    <w:rsid w:val="00582B3D"/>
    <w:rsid w:val="00583DC1"/>
    <w:rsid w:val="00586067"/>
    <w:rsid w:val="00587B49"/>
    <w:rsid w:val="0059054F"/>
    <w:rsid w:val="005942E5"/>
    <w:rsid w:val="0059701E"/>
    <w:rsid w:val="005A0220"/>
    <w:rsid w:val="005A1675"/>
    <w:rsid w:val="005A1D96"/>
    <w:rsid w:val="005A7108"/>
    <w:rsid w:val="005A7328"/>
    <w:rsid w:val="005A7E2F"/>
    <w:rsid w:val="005B3195"/>
    <w:rsid w:val="005B4689"/>
    <w:rsid w:val="005B4ECF"/>
    <w:rsid w:val="005B73CC"/>
    <w:rsid w:val="005C0A8B"/>
    <w:rsid w:val="005C2865"/>
    <w:rsid w:val="005D1BF7"/>
    <w:rsid w:val="005D2AB2"/>
    <w:rsid w:val="005D44A1"/>
    <w:rsid w:val="005D6195"/>
    <w:rsid w:val="005F0069"/>
    <w:rsid w:val="005F0147"/>
    <w:rsid w:val="005F4A4A"/>
    <w:rsid w:val="005F4E0C"/>
    <w:rsid w:val="005F55DF"/>
    <w:rsid w:val="005F5B17"/>
    <w:rsid w:val="005F6469"/>
    <w:rsid w:val="005F793F"/>
    <w:rsid w:val="00600365"/>
    <w:rsid w:val="00601775"/>
    <w:rsid w:val="00602F1A"/>
    <w:rsid w:val="006066C8"/>
    <w:rsid w:val="006071A5"/>
    <w:rsid w:val="006151BC"/>
    <w:rsid w:val="006158D4"/>
    <w:rsid w:val="00617745"/>
    <w:rsid w:val="00620F1A"/>
    <w:rsid w:val="00620FE4"/>
    <w:rsid w:val="00622FE8"/>
    <w:rsid w:val="006242E1"/>
    <w:rsid w:val="00624630"/>
    <w:rsid w:val="00625626"/>
    <w:rsid w:val="00625CA2"/>
    <w:rsid w:val="00626A92"/>
    <w:rsid w:val="006318A4"/>
    <w:rsid w:val="00634885"/>
    <w:rsid w:val="006419E8"/>
    <w:rsid w:val="00641ACF"/>
    <w:rsid w:val="006421F6"/>
    <w:rsid w:val="00642E8C"/>
    <w:rsid w:val="006536DF"/>
    <w:rsid w:val="006543B0"/>
    <w:rsid w:val="00662F28"/>
    <w:rsid w:val="00675F17"/>
    <w:rsid w:val="0067715C"/>
    <w:rsid w:val="006777CF"/>
    <w:rsid w:val="0068127D"/>
    <w:rsid w:val="0068164C"/>
    <w:rsid w:val="00687844"/>
    <w:rsid w:val="0069001D"/>
    <w:rsid w:val="0069382F"/>
    <w:rsid w:val="00694D34"/>
    <w:rsid w:val="00694F5C"/>
    <w:rsid w:val="0069562B"/>
    <w:rsid w:val="0069745F"/>
    <w:rsid w:val="0069753D"/>
    <w:rsid w:val="006A0F68"/>
    <w:rsid w:val="006A18AA"/>
    <w:rsid w:val="006A201E"/>
    <w:rsid w:val="006A37C8"/>
    <w:rsid w:val="006B0019"/>
    <w:rsid w:val="006B30FA"/>
    <w:rsid w:val="006B52E5"/>
    <w:rsid w:val="006C05B9"/>
    <w:rsid w:val="006C4F68"/>
    <w:rsid w:val="006C68A5"/>
    <w:rsid w:val="006C7A94"/>
    <w:rsid w:val="006D10FE"/>
    <w:rsid w:val="006D1E3B"/>
    <w:rsid w:val="006D403C"/>
    <w:rsid w:val="006D4873"/>
    <w:rsid w:val="006E03FF"/>
    <w:rsid w:val="006E2F0F"/>
    <w:rsid w:val="006E35F4"/>
    <w:rsid w:val="006F021D"/>
    <w:rsid w:val="006F0FC1"/>
    <w:rsid w:val="006F4F4B"/>
    <w:rsid w:val="006F553B"/>
    <w:rsid w:val="006F5E46"/>
    <w:rsid w:val="006F60D0"/>
    <w:rsid w:val="0070583D"/>
    <w:rsid w:val="00705F16"/>
    <w:rsid w:val="00707239"/>
    <w:rsid w:val="0070749A"/>
    <w:rsid w:val="007137BA"/>
    <w:rsid w:val="00716D46"/>
    <w:rsid w:val="00717547"/>
    <w:rsid w:val="00721B19"/>
    <w:rsid w:val="0073122D"/>
    <w:rsid w:val="007335CC"/>
    <w:rsid w:val="007344A2"/>
    <w:rsid w:val="007374CA"/>
    <w:rsid w:val="0074373A"/>
    <w:rsid w:val="0074615C"/>
    <w:rsid w:val="007531E1"/>
    <w:rsid w:val="00754432"/>
    <w:rsid w:val="007544C4"/>
    <w:rsid w:val="00755052"/>
    <w:rsid w:val="007557BC"/>
    <w:rsid w:val="00757D26"/>
    <w:rsid w:val="00764971"/>
    <w:rsid w:val="00765F02"/>
    <w:rsid w:val="0076604A"/>
    <w:rsid w:val="00766FF6"/>
    <w:rsid w:val="00767FE6"/>
    <w:rsid w:val="00771F3D"/>
    <w:rsid w:val="007731E2"/>
    <w:rsid w:val="007735E3"/>
    <w:rsid w:val="00773AAB"/>
    <w:rsid w:val="0077691B"/>
    <w:rsid w:val="00776C02"/>
    <w:rsid w:val="00776CE1"/>
    <w:rsid w:val="00777259"/>
    <w:rsid w:val="007804AC"/>
    <w:rsid w:val="00785D84"/>
    <w:rsid w:val="0079235A"/>
    <w:rsid w:val="007A66A4"/>
    <w:rsid w:val="007A79E5"/>
    <w:rsid w:val="007B0325"/>
    <w:rsid w:val="007B3327"/>
    <w:rsid w:val="007B3A2D"/>
    <w:rsid w:val="007B3AFA"/>
    <w:rsid w:val="007B4A83"/>
    <w:rsid w:val="007C5298"/>
    <w:rsid w:val="007D0DC8"/>
    <w:rsid w:val="007D10F9"/>
    <w:rsid w:val="007D1B7B"/>
    <w:rsid w:val="007D21E9"/>
    <w:rsid w:val="007D3BD0"/>
    <w:rsid w:val="007D4453"/>
    <w:rsid w:val="007D4C0D"/>
    <w:rsid w:val="007D5D8A"/>
    <w:rsid w:val="007D696D"/>
    <w:rsid w:val="007D7A85"/>
    <w:rsid w:val="007E1370"/>
    <w:rsid w:val="007E1AA6"/>
    <w:rsid w:val="007E36E0"/>
    <w:rsid w:val="007E60A7"/>
    <w:rsid w:val="007E7778"/>
    <w:rsid w:val="007F3BCD"/>
    <w:rsid w:val="007F6DD7"/>
    <w:rsid w:val="0080272C"/>
    <w:rsid w:val="00811149"/>
    <w:rsid w:val="008158BA"/>
    <w:rsid w:val="00826C3D"/>
    <w:rsid w:val="00831160"/>
    <w:rsid w:val="00831579"/>
    <w:rsid w:val="00832477"/>
    <w:rsid w:val="00832CFC"/>
    <w:rsid w:val="0083490F"/>
    <w:rsid w:val="008361D1"/>
    <w:rsid w:val="00840A8B"/>
    <w:rsid w:val="0084150B"/>
    <w:rsid w:val="00842724"/>
    <w:rsid w:val="00842D4D"/>
    <w:rsid w:val="008444FD"/>
    <w:rsid w:val="00846315"/>
    <w:rsid w:val="00846BBF"/>
    <w:rsid w:val="00850909"/>
    <w:rsid w:val="00853149"/>
    <w:rsid w:val="00853505"/>
    <w:rsid w:val="00854CF6"/>
    <w:rsid w:val="00860163"/>
    <w:rsid w:val="008640FA"/>
    <w:rsid w:val="00864973"/>
    <w:rsid w:val="00864FE8"/>
    <w:rsid w:val="008664DE"/>
    <w:rsid w:val="00867416"/>
    <w:rsid w:val="00870DDC"/>
    <w:rsid w:val="0087708A"/>
    <w:rsid w:val="00880881"/>
    <w:rsid w:val="008814D3"/>
    <w:rsid w:val="008828F7"/>
    <w:rsid w:val="00883924"/>
    <w:rsid w:val="00886819"/>
    <w:rsid w:val="008900AE"/>
    <w:rsid w:val="008912F4"/>
    <w:rsid w:val="008921B8"/>
    <w:rsid w:val="0089271E"/>
    <w:rsid w:val="00894CC5"/>
    <w:rsid w:val="008954FD"/>
    <w:rsid w:val="00895AB7"/>
    <w:rsid w:val="008A368A"/>
    <w:rsid w:val="008A3DDD"/>
    <w:rsid w:val="008A44B7"/>
    <w:rsid w:val="008A719B"/>
    <w:rsid w:val="008C2138"/>
    <w:rsid w:val="008C3305"/>
    <w:rsid w:val="008C6A26"/>
    <w:rsid w:val="008D4FFA"/>
    <w:rsid w:val="008D5093"/>
    <w:rsid w:val="008D5D56"/>
    <w:rsid w:val="008D7FC6"/>
    <w:rsid w:val="008E0CF0"/>
    <w:rsid w:val="008F2514"/>
    <w:rsid w:val="008F4CDF"/>
    <w:rsid w:val="008F6422"/>
    <w:rsid w:val="008F7F49"/>
    <w:rsid w:val="00901A15"/>
    <w:rsid w:val="00901C6D"/>
    <w:rsid w:val="0091008C"/>
    <w:rsid w:val="00911763"/>
    <w:rsid w:val="00911EA0"/>
    <w:rsid w:val="00917D6C"/>
    <w:rsid w:val="0092009C"/>
    <w:rsid w:val="00920A95"/>
    <w:rsid w:val="00925DA8"/>
    <w:rsid w:val="009264B6"/>
    <w:rsid w:val="00930452"/>
    <w:rsid w:val="00931B6A"/>
    <w:rsid w:val="00933EE4"/>
    <w:rsid w:val="009365FA"/>
    <w:rsid w:val="00940C04"/>
    <w:rsid w:val="00945EAE"/>
    <w:rsid w:val="00956ADF"/>
    <w:rsid w:val="00960429"/>
    <w:rsid w:val="00960A3E"/>
    <w:rsid w:val="00964117"/>
    <w:rsid w:val="00970956"/>
    <w:rsid w:val="00973E23"/>
    <w:rsid w:val="00977D1B"/>
    <w:rsid w:val="00984739"/>
    <w:rsid w:val="009847CF"/>
    <w:rsid w:val="00985CB5"/>
    <w:rsid w:val="00987422"/>
    <w:rsid w:val="00991AA4"/>
    <w:rsid w:val="009966F3"/>
    <w:rsid w:val="00997172"/>
    <w:rsid w:val="009A474C"/>
    <w:rsid w:val="009A56AA"/>
    <w:rsid w:val="009A7D47"/>
    <w:rsid w:val="009B0F78"/>
    <w:rsid w:val="009B169C"/>
    <w:rsid w:val="009B31DE"/>
    <w:rsid w:val="009B5AB6"/>
    <w:rsid w:val="009C0961"/>
    <w:rsid w:val="009C7777"/>
    <w:rsid w:val="009D4A3C"/>
    <w:rsid w:val="009D4AE7"/>
    <w:rsid w:val="009E2097"/>
    <w:rsid w:val="009E56B9"/>
    <w:rsid w:val="009E5FFA"/>
    <w:rsid w:val="009F0854"/>
    <w:rsid w:val="009F0DFE"/>
    <w:rsid w:val="009F273F"/>
    <w:rsid w:val="00A0100E"/>
    <w:rsid w:val="00A055D2"/>
    <w:rsid w:val="00A065CA"/>
    <w:rsid w:val="00A076ED"/>
    <w:rsid w:val="00A10100"/>
    <w:rsid w:val="00A14043"/>
    <w:rsid w:val="00A2183F"/>
    <w:rsid w:val="00A22BC1"/>
    <w:rsid w:val="00A32952"/>
    <w:rsid w:val="00A339ED"/>
    <w:rsid w:val="00A4042A"/>
    <w:rsid w:val="00A40EB5"/>
    <w:rsid w:val="00A40F6C"/>
    <w:rsid w:val="00A419EA"/>
    <w:rsid w:val="00A476F7"/>
    <w:rsid w:val="00A51EB5"/>
    <w:rsid w:val="00A54F80"/>
    <w:rsid w:val="00A55443"/>
    <w:rsid w:val="00A559FF"/>
    <w:rsid w:val="00A575B3"/>
    <w:rsid w:val="00A60CDF"/>
    <w:rsid w:val="00A62830"/>
    <w:rsid w:val="00A63992"/>
    <w:rsid w:val="00A647FD"/>
    <w:rsid w:val="00A64A88"/>
    <w:rsid w:val="00A70F3D"/>
    <w:rsid w:val="00A72049"/>
    <w:rsid w:val="00A801D7"/>
    <w:rsid w:val="00A81262"/>
    <w:rsid w:val="00A84B65"/>
    <w:rsid w:val="00A85E72"/>
    <w:rsid w:val="00A86568"/>
    <w:rsid w:val="00A87E6F"/>
    <w:rsid w:val="00A975EB"/>
    <w:rsid w:val="00AA1D80"/>
    <w:rsid w:val="00AA58E2"/>
    <w:rsid w:val="00AA5BDD"/>
    <w:rsid w:val="00AB20AE"/>
    <w:rsid w:val="00AB330D"/>
    <w:rsid w:val="00AB4DA0"/>
    <w:rsid w:val="00AC2DEC"/>
    <w:rsid w:val="00AC4506"/>
    <w:rsid w:val="00AD0DAA"/>
    <w:rsid w:val="00AD470C"/>
    <w:rsid w:val="00AD56AB"/>
    <w:rsid w:val="00AD650E"/>
    <w:rsid w:val="00AE7C11"/>
    <w:rsid w:val="00AF12B9"/>
    <w:rsid w:val="00AF36BB"/>
    <w:rsid w:val="00AF7303"/>
    <w:rsid w:val="00B00A7D"/>
    <w:rsid w:val="00B036C6"/>
    <w:rsid w:val="00B03E37"/>
    <w:rsid w:val="00B0519A"/>
    <w:rsid w:val="00B073D5"/>
    <w:rsid w:val="00B12ABF"/>
    <w:rsid w:val="00B12CCC"/>
    <w:rsid w:val="00B15A4D"/>
    <w:rsid w:val="00B2248A"/>
    <w:rsid w:val="00B306D7"/>
    <w:rsid w:val="00B30D8D"/>
    <w:rsid w:val="00B33190"/>
    <w:rsid w:val="00B375FB"/>
    <w:rsid w:val="00B519CF"/>
    <w:rsid w:val="00B525D0"/>
    <w:rsid w:val="00B52AD3"/>
    <w:rsid w:val="00B53E0D"/>
    <w:rsid w:val="00B603D9"/>
    <w:rsid w:val="00B60674"/>
    <w:rsid w:val="00B60986"/>
    <w:rsid w:val="00B61E57"/>
    <w:rsid w:val="00B71BA3"/>
    <w:rsid w:val="00B7546F"/>
    <w:rsid w:val="00B76E3A"/>
    <w:rsid w:val="00B773A6"/>
    <w:rsid w:val="00B77DD3"/>
    <w:rsid w:val="00B80339"/>
    <w:rsid w:val="00B83B22"/>
    <w:rsid w:val="00B867C4"/>
    <w:rsid w:val="00B90FA0"/>
    <w:rsid w:val="00B919CD"/>
    <w:rsid w:val="00B920FF"/>
    <w:rsid w:val="00B9364E"/>
    <w:rsid w:val="00BA0870"/>
    <w:rsid w:val="00BA0A7E"/>
    <w:rsid w:val="00BA2C1C"/>
    <w:rsid w:val="00BA3B93"/>
    <w:rsid w:val="00BA63E3"/>
    <w:rsid w:val="00BB07E7"/>
    <w:rsid w:val="00BB67B3"/>
    <w:rsid w:val="00BB7640"/>
    <w:rsid w:val="00BB7C1C"/>
    <w:rsid w:val="00BC0E14"/>
    <w:rsid w:val="00BC1489"/>
    <w:rsid w:val="00BC5CA9"/>
    <w:rsid w:val="00BD23AA"/>
    <w:rsid w:val="00BE2C38"/>
    <w:rsid w:val="00BE3A08"/>
    <w:rsid w:val="00BE4D80"/>
    <w:rsid w:val="00BE5E15"/>
    <w:rsid w:val="00BE7709"/>
    <w:rsid w:val="00BE7D10"/>
    <w:rsid w:val="00BF3222"/>
    <w:rsid w:val="00C011DB"/>
    <w:rsid w:val="00C02957"/>
    <w:rsid w:val="00C02AD4"/>
    <w:rsid w:val="00C055AA"/>
    <w:rsid w:val="00C066F3"/>
    <w:rsid w:val="00C13620"/>
    <w:rsid w:val="00C13B95"/>
    <w:rsid w:val="00C13EBE"/>
    <w:rsid w:val="00C140FB"/>
    <w:rsid w:val="00C14841"/>
    <w:rsid w:val="00C16C91"/>
    <w:rsid w:val="00C17079"/>
    <w:rsid w:val="00C20A03"/>
    <w:rsid w:val="00C212AE"/>
    <w:rsid w:val="00C35E45"/>
    <w:rsid w:val="00C402BC"/>
    <w:rsid w:val="00C40694"/>
    <w:rsid w:val="00C50AAE"/>
    <w:rsid w:val="00C537CF"/>
    <w:rsid w:val="00C61E30"/>
    <w:rsid w:val="00C628FE"/>
    <w:rsid w:val="00C65530"/>
    <w:rsid w:val="00C66254"/>
    <w:rsid w:val="00C662AD"/>
    <w:rsid w:val="00C778FD"/>
    <w:rsid w:val="00C82523"/>
    <w:rsid w:val="00C847D7"/>
    <w:rsid w:val="00C867DF"/>
    <w:rsid w:val="00C930C4"/>
    <w:rsid w:val="00C93F2C"/>
    <w:rsid w:val="00C96173"/>
    <w:rsid w:val="00CA02C9"/>
    <w:rsid w:val="00CA211C"/>
    <w:rsid w:val="00CA4551"/>
    <w:rsid w:val="00CB1D3B"/>
    <w:rsid w:val="00CB3734"/>
    <w:rsid w:val="00CC0EBB"/>
    <w:rsid w:val="00CC1B31"/>
    <w:rsid w:val="00CC1EA9"/>
    <w:rsid w:val="00CD1C41"/>
    <w:rsid w:val="00CD7A84"/>
    <w:rsid w:val="00CE102C"/>
    <w:rsid w:val="00CE3A7C"/>
    <w:rsid w:val="00CF1623"/>
    <w:rsid w:val="00CF267D"/>
    <w:rsid w:val="00D009F5"/>
    <w:rsid w:val="00D012D3"/>
    <w:rsid w:val="00D02E3C"/>
    <w:rsid w:val="00D04D05"/>
    <w:rsid w:val="00D10089"/>
    <w:rsid w:val="00D10963"/>
    <w:rsid w:val="00D133AC"/>
    <w:rsid w:val="00D1483F"/>
    <w:rsid w:val="00D16B24"/>
    <w:rsid w:val="00D17FCD"/>
    <w:rsid w:val="00D26315"/>
    <w:rsid w:val="00D27C0B"/>
    <w:rsid w:val="00D30DA1"/>
    <w:rsid w:val="00D31D59"/>
    <w:rsid w:val="00D33911"/>
    <w:rsid w:val="00D34967"/>
    <w:rsid w:val="00D4236D"/>
    <w:rsid w:val="00D42388"/>
    <w:rsid w:val="00D44B46"/>
    <w:rsid w:val="00D44E63"/>
    <w:rsid w:val="00D51290"/>
    <w:rsid w:val="00D56C6E"/>
    <w:rsid w:val="00D64945"/>
    <w:rsid w:val="00D64C40"/>
    <w:rsid w:val="00D658A3"/>
    <w:rsid w:val="00D663CA"/>
    <w:rsid w:val="00D67CDA"/>
    <w:rsid w:val="00D7066A"/>
    <w:rsid w:val="00D73967"/>
    <w:rsid w:val="00D802E5"/>
    <w:rsid w:val="00D80312"/>
    <w:rsid w:val="00D80B73"/>
    <w:rsid w:val="00D85078"/>
    <w:rsid w:val="00D85DF0"/>
    <w:rsid w:val="00D872FE"/>
    <w:rsid w:val="00D90715"/>
    <w:rsid w:val="00D92B22"/>
    <w:rsid w:val="00D93653"/>
    <w:rsid w:val="00D94285"/>
    <w:rsid w:val="00D97561"/>
    <w:rsid w:val="00DA06CF"/>
    <w:rsid w:val="00DA2073"/>
    <w:rsid w:val="00DA5FC1"/>
    <w:rsid w:val="00DA77DE"/>
    <w:rsid w:val="00DA788D"/>
    <w:rsid w:val="00DB01EC"/>
    <w:rsid w:val="00DB204D"/>
    <w:rsid w:val="00DB24C6"/>
    <w:rsid w:val="00DB3BCE"/>
    <w:rsid w:val="00DB5EB6"/>
    <w:rsid w:val="00DC5159"/>
    <w:rsid w:val="00DC560A"/>
    <w:rsid w:val="00DD40ED"/>
    <w:rsid w:val="00DD45A8"/>
    <w:rsid w:val="00DD69C4"/>
    <w:rsid w:val="00DD6CBF"/>
    <w:rsid w:val="00DF22FC"/>
    <w:rsid w:val="00DF339A"/>
    <w:rsid w:val="00DF6D67"/>
    <w:rsid w:val="00E02A48"/>
    <w:rsid w:val="00E05381"/>
    <w:rsid w:val="00E05E73"/>
    <w:rsid w:val="00E13434"/>
    <w:rsid w:val="00E15C4E"/>
    <w:rsid w:val="00E16AA1"/>
    <w:rsid w:val="00E21223"/>
    <w:rsid w:val="00E22CEF"/>
    <w:rsid w:val="00E331DC"/>
    <w:rsid w:val="00E34749"/>
    <w:rsid w:val="00E35D3F"/>
    <w:rsid w:val="00E36CBB"/>
    <w:rsid w:val="00E4305A"/>
    <w:rsid w:val="00E445CC"/>
    <w:rsid w:val="00E44DDC"/>
    <w:rsid w:val="00E475A8"/>
    <w:rsid w:val="00E5290C"/>
    <w:rsid w:val="00E55B37"/>
    <w:rsid w:val="00E56EFE"/>
    <w:rsid w:val="00E6038D"/>
    <w:rsid w:val="00E60801"/>
    <w:rsid w:val="00E62D95"/>
    <w:rsid w:val="00E65213"/>
    <w:rsid w:val="00E6671A"/>
    <w:rsid w:val="00E74AD7"/>
    <w:rsid w:val="00E75AAE"/>
    <w:rsid w:val="00E75BF0"/>
    <w:rsid w:val="00E8511E"/>
    <w:rsid w:val="00E92669"/>
    <w:rsid w:val="00E935E2"/>
    <w:rsid w:val="00E94C99"/>
    <w:rsid w:val="00E95C04"/>
    <w:rsid w:val="00EA0D0F"/>
    <w:rsid w:val="00EA2D4A"/>
    <w:rsid w:val="00EA5301"/>
    <w:rsid w:val="00EA70BB"/>
    <w:rsid w:val="00EA7796"/>
    <w:rsid w:val="00EB00D8"/>
    <w:rsid w:val="00EB7171"/>
    <w:rsid w:val="00EC0DFC"/>
    <w:rsid w:val="00EC11E0"/>
    <w:rsid w:val="00EC2CD9"/>
    <w:rsid w:val="00EE42B2"/>
    <w:rsid w:val="00EE4822"/>
    <w:rsid w:val="00EE54EC"/>
    <w:rsid w:val="00F01B0D"/>
    <w:rsid w:val="00F02894"/>
    <w:rsid w:val="00F033A7"/>
    <w:rsid w:val="00F03D34"/>
    <w:rsid w:val="00F11DE7"/>
    <w:rsid w:val="00F12BBA"/>
    <w:rsid w:val="00F13700"/>
    <w:rsid w:val="00F15FEB"/>
    <w:rsid w:val="00F164E1"/>
    <w:rsid w:val="00F17323"/>
    <w:rsid w:val="00F23334"/>
    <w:rsid w:val="00F246B3"/>
    <w:rsid w:val="00F32E3A"/>
    <w:rsid w:val="00F34110"/>
    <w:rsid w:val="00F407D1"/>
    <w:rsid w:val="00F409EF"/>
    <w:rsid w:val="00F40C54"/>
    <w:rsid w:val="00F4281D"/>
    <w:rsid w:val="00F43AE5"/>
    <w:rsid w:val="00F44DD9"/>
    <w:rsid w:val="00F458B9"/>
    <w:rsid w:val="00F473E5"/>
    <w:rsid w:val="00F47740"/>
    <w:rsid w:val="00F479C4"/>
    <w:rsid w:val="00F53679"/>
    <w:rsid w:val="00F53B4E"/>
    <w:rsid w:val="00F55089"/>
    <w:rsid w:val="00F56B46"/>
    <w:rsid w:val="00F62B2F"/>
    <w:rsid w:val="00F65C12"/>
    <w:rsid w:val="00F70AAA"/>
    <w:rsid w:val="00F73DAB"/>
    <w:rsid w:val="00F73FDB"/>
    <w:rsid w:val="00F776B3"/>
    <w:rsid w:val="00F8142C"/>
    <w:rsid w:val="00F825B3"/>
    <w:rsid w:val="00F84011"/>
    <w:rsid w:val="00F85401"/>
    <w:rsid w:val="00F87C38"/>
    <w:rsid w:val="00F9338E"/>
    <w:rsid w:val="00F94A5C"/>
    <w:rsid w:val="00F94E50"/>
    <w:rsid w:val="00F956D2"/>
    <w:rsid w:val="00F95BA9"/>
    <w:rsid w:val="00F969AC"/>
    <w:rsid w:val="00FA025D"/>
    <w:rsid w:val="00FA142E"/>
    <w:rsid w:val="00FA4233"/>
    <w:rsid w:val="00FB533C"/>
    <w:rsid w:val="00FB62AE"/>
    <w:rsid w:val="00FB7AC7"/>
    <w:rsid w:val="00FC090F"/>
    <w:rsid w:val="00FD2853"/>
    <w:rsid w:val="00FD6128"/>
    <w:rsid w:val="00FD6505"/>
    <w:rsid w:val="00FE05AF"/>
    <w:rsid w:val="00FE23B3"/>
    <w:rsid w:val="00FE5994"/>
    <w:rsid w:val="00FE7467"/>
    <w:rsid w:val="00FE7E39"/>
    <w:rsid w:val="00FF09E1"/>
    <w:rsid w:val="00FF6E64"/>
    <w:rsid w:val="01110375"/>
    <w:rsid w:val="014C6541"/>
    <w:rsid w:val="01A50F6D"/>
    <w:rsid w:val="01AD1D01"/>
    <w:rsid w:val="01AE427A"/>
    <w:rsid w:val="01B00DD5"/>
    <w:rsid w:val="01BA1975"/>
    <w:rsid w:val="01BC1EFD"/>
    <w:rsid w:val="01E00E10"/>
    <w:rsid w:val="01EB5A42"/>
    <w:rsid w:val="01FB40D3"/>
    <w:rsid w:val="020D7374"/>
    <w:rsid w:val="024D071C"/>
    <w:rsid w:val="0262486F"/>
    <w:rsid w:val="026455BA"/>
    <w:rsid w:val="02664D60"/>
    <w:rsid w:val="02727ED8"/>
    <w:rsid w:val="02B32298"/>
    <w:rsid w:val="02B35F99"/>
    <w:rsid w:val="02FE3ADD"/>
    <w:rsid w:val="030775A9"/>
    <w:rsid w:val="033B50CF"/>
    <w:rsid w:val="035241C7"/>
    <w:rsid w:val="03704DD4"/>
    <w:rsid w:val="03CA7146"/>
    <w:rsid w:val="03F43BC7"/>
    <w:rsid w:val="040D4819"/>
    <w:rsid w:val="041A3B88"/>
    <w:rsid w:val="04475CB2"/>
    <w:rsid w:val="0450187C"/>
    <w:rsid w:val="04777740"/>
    <w:rsid w:val="04A7501E"/>
    <w:rsid w:val="04D1011B"/>
    <w:rsid w:val="04E706B2"/>
    <w:rsid w:val="04F14B3B"/>
    <w:rsid w:val="052D75BB"/>
    <w:rsid w:val="05794DBE"/>
    <w:rsid w:val="05B57ADE"/>
    <w:rsid w:val="05F7374E"/>
    <w:rsid w:val="061E653B"/>
    <w:rsid w:val="0649696A"/>
    <w:rsid w:val="06631221"/>
    <w:rsid w:val="069301A3"/>
    <w:rsid w:val="06CA3ED9"/>
    <w:rsid w:val="06CB4D94"/>
    <w:rsid w:val="06F87C89"/>
    <w:rsid w:val="07230920"/>
    <w:rsid w:val="073E094F"/>
    <w:rsid w:val="077E7604"/>
    <w:rsid w:val="085520C7"/>
    <w:rsid w:val="08755260"/>
    <w:rsid w:val="087847DF"/>
    <w:rsid w:val="089E564F"/>
    <w:rsid w:val="08A1231D"/>
    <w:rsid w:val="08C1200F"/>
    <w:rsid w:val="08DB71DA"/>
    <w:rsid w:val="08F35529"/>
    <w:rsid w:val="0917742F"/>
    <w:rsid w:val="0944625E"/>
    <w:rsid w:val="094B5DFA"/>
    <w:rsid w:val="09C37CCD"/>
    <w:rsid w:val="09D14D6F"/>
    <w:rsid w:val="09D618F0"/>
    <w:rsid w:val="09EA5D27"/>
    <w:rsid w:val="0A0A2E96"/>
    <w:rsid w:val="0A37532F"/>
    <w:rsid w:val="0A3D2B00"/>
    <w:rsid w:val="0A4E1918"/>
    <w:rsid w:val="0A9A6D26"/>
    <w:rsid w:val="0A9C21F1"/>
    <w:rsid w:val="0AA40ED6"/>
    <w:rsid w:val="0AA944CF"/>
    <w:rsid w:val="0AC6493D"/>
    <w:rsid w:val="0ADE0D98"/>
    <w:rsid w:val="0AE01A38"/>
    <w:rsid w:val="0B2C66B4"/>
    <w:rsid w:val="0B376785"/>
    <w:rsid w:val="0B546636"/>
    <w:rsid w:val="0B58536A"/>
    <w:rsid w:val="0B960908"/>
    <w:rsid w:val="0BDC0CA8"/>
    <w:rsid w:val="0BFC5617"/>
    <w:rsid w:val="0C0620F2"/>
    <w:rsid w:val="0C1C4A6E"/>
    <w:rsid w:val="0C2269F6"/>
    <w:rsid w:val="0C230551"/>
    <w:rsid w:val="0C684A5B"/>
    <w:rsid w:val="0C7B71AB"/>
    <w:rsid w:val="0C7C74EF"/>
    <w:rsid w:val="0C985292"/>
    <w:rsid w:val="0CA203DB"/>
    <w:rsid w:val="0CA81CF0"/>
    <w:rsid w:val="0CD7213D"/>
    <w:rsid w:val="0CD72967"/>
    <w:rsid w:val="0CE378FC"/>
    <w:rsid w:val="0D000F21"/>
    <w:rsid w:val="0D1A4177"/>
    <w:rsid w:val="0D5E2FB0"/>
    <w:rsid w:val="0D675834"/>
    <w:rsid w:val="0DA41D19"/>
    <w:rsid w:val="0DA5022F"/>
    <w:rsid w:val="0DAE29B4"/>
    <w:rsid w:val="0DB23D4B"/>
    <w:rsid w:val="0DE261DD"/>
    <w:rsid w:val="0E2A25FA"/>
    <w:rsid w:val="0E660DA9"/>
    <w:rsid w:val="0E694890"/>
    <w:rsid w:val="0E6F7186"/>
    <w:rsid w:val="0E724774"/>
    <w:rsid w:val="0E7B263C"/>
    <w:rsid w:val="0EAB377C"/>
    <w:rsid w:val="0EDE331C"/>
    <w:rsid w:val="0EE256C2"/>
    <w:rsid w:val="0EE961D4"/>
    <w:rsid w:val="0F0E4134"/>
    <w:rsid w:val="0F122D33"/>
    <w:rsid w:val="0F3F0330"/>
    <w:rsid w:val="0F561DA8"/>
    <w:rsid w:val="0F5D61F1"/>
    <w:rsid w:val="0F6D709C"/>
    <w:rsid w:val="0F7B5CC8"/>
    <w:rsid w:val="0F813140"/>
    <w:rsid w:val="0F982873"/>
    <w:rsid w:val="0F9F62BB"/>
    <w:rsid w:val="0FA618C2"/>
    <w:rsid w:val="0FB575CC"/>
    <w:rsid w:val="0FB766BA"/>
    <w:rsid w:val="0FB81855"/>
    <w:rsid w:val="0FC85C60"/>
    <w:rsid w:val="0FD1477F"/>
    <w:rsid w:val="1019661A"/>
    <w:rsid w:val="101F3998"/>
    <w:rsid w:val="107059BE"/>
    <w:rsid w:val="10F72154"/>
    <w:rsid w:val="1104334A"/>
    <w:rsid w:val="110C11BE"/>
    <w:rsid w:val="112C7348"/>
    <w:rsid w:val="114E6C76"/>
    <w:rsid w:val="11501EBF"/>
    <w:rsid w:val="115411E4"/>
    <w:rsid w:val="119609C2"/>
    <w:rsid w:val="11C55B56"/>
    <w:rsid w:val="11C84B41"/>
    <w:rsid w:val="11CA247F"/>
    <w:rsid w:val="11D5049D"/>
    <w:rsid w:val="120E76F6"/>
    <w:rsid w:val="120F6316"/>
    <w:rsid w:val="121A008F"/>
    <w:rsid w:val="122634EA"/>
    <w:rsid w:val="122D527E"/>
    <w:rsid w:val="123124C2"/>
    <w:rsid w:val="12453701"/>
    <w:rsid w:val="124567AB"/>
    <w:rsid w:val="12554BFE"/>
    <w:rsid w:val="12814B71"/>
    <w:rsid w:val="1281772E"/>
    <w:rsid w:val="12892EC6"/>
    <w:rsid w:val="128E77C8"/>
    <w:rsid w:val="12B66520"/>
    <w:rsid w:val="12BC4ECA"/>
    <w:rsid w:val="12C3253C"/>
    <w:rsid w:val="12DD2039"/>
    <w:rsid w:val="12FC2CE8"/>
    <w:rsid w:val="12FD798F"/>
    <w:rsid w:val="130A3BEA"/>
    <w:rsid w:val="13204BD5"/>
    <w:rsid w:val="13355F1E"/>
    <w:rsid w:val="13460853"/>
    <w:rsid w:val="134E7DF6"/>
    <w:rsid w:val="138B2581"/>
    <w:rsid w:val="13A03936"/>
    <w:rsid w:val="13A37CD5"/>
    <w:rsid w:val="13A6042F"/>
    <w:rsid w:val="13B74D4C"/>
    <w:rsid w:val="13C25F02"/>
    <w:rsid w:val="13E45093"/>
    <w:rsid w:val="141E0A61"/>
    <w:rsid w:val="14360CF7"/>
    <w:rsid w:val="145D7869"/>
    <w:rsid w:val="147C10A3"/>
    <w:rsid w:val="148E0C6E"/>
    <w:rsid w:val="149A370F"/>
    <w:rsid w:val="14A10B0A"/>
    <w:rsid w:val="14B05CE9"/>
    <w:rsid w:val="14BD3C5F"/>
    <w:rsid w:val="14D604BA"/>
    <w:rsid w:val="15007BD9"/>
    <w:rsid w:val="15116EC6"/>
    <w:rsid w:val="152C0113"/>
    <w:rsid w:val="153F13EA"/>
    <w:rsid w:val="15794371"/>
    <w:rsid w:val="15953ED8"/>
    <w:rsid w:val="15C64F04"/>
    <w:rsid w:val="15F74931"/>
    <w:rsid w:val="16041350"/>
    <w:rsid w:val="163D3CD8"/>
    <w:rsid w:val="16581C05"/>
    <w:rsid w:val="16671F47"/>
    <w:rsid w:val="169057ED"/>
    <w:rsid w:val="16D93216"/>
    <w:rsid w:val="16E0284D"/>
    <w:rsid w:val="16E354D5"/>
    <w:rsid w:val="16ED3964"/>
    <w:rsid w:val="16FA28AD"/>
    <w:rsid w:val="171B0D02"/>
    <w:rsid w:val="1721486F"/>
    <w:rsid w:val="17344D4B"/>
    <w:rsid w:val="17567623"/>
    <w:rsid w:val="17887C7B"/>
    <w:rsid w:val="17984646"/>
    <w:rsid w:val="17A56C36"/>
    <w:rsid w:val="17B43F78"/>
    <w:rsid w:val="17DE0362"/>
    <w:rsid w:val="18166E73"/>
    <w:rsid w:val="1865679B"/>
    <w:rsid w:val="18667B11"/>
    <w:rsid w:val="187A33F5"/>
    <w:rsid w:val="189D4526"/>
    <w:rsid w:val="189D7ACD"/>
    <w:rsid w:val="18B21332"/>
    <w:rsid w:val="18B32EB3"/>
    <w:rsid w:val="18B6593E"/>
    <w:rsid w:val="18CE20EA"/>
    <w:rsid w:val="18F27A0F"/>
    <w:rsid w:val="18F7091E"/>
    <w:rsid w:val="19321E26"/>
    <w:rsid w:val="193618A5"/>
    <w:rsid w:val="193D4C53"/>
    <w:rsid w:val="19470CE8"/>
    <w:rsid w:val="194A11B1"/>
    <w:rsid w:val="194E4CB0"/>
    <w:rsid w:val="19680B9D"/>
    <w:rsid w:val="19997461"/>
    <w:rsid w:val="19BB08C0"/>
    <w:rsid w:val="19C95F16"/>
    <w:rsid w:val="1A030B62"/>
    <w:rsid w:val="1A065E7D"/>
    <w:rsid w:val="1A1F6E52"/>
    <w:rsid w:val="1A2A3ED0"/>
    <w:rsid w:val="1A800B91"/>
    <w:rsid w:val="1A825A52"/>
    <w:rsid w:val="1A8F4166"/>
    <w:rsid w:val="1A91498C"/>
    <w:rsid w:val="1A9269FF"/>
    <w:rsid w:val="1B145CD8"/>
    <w:rsid w:val="1B1F44CF"/>
    <w:rsid w:val="1B2A4DBD"/>
    <w:rsid w:val="1B4D2243"/>
    <w:rsid w:val="1B7340C7"/>
    <w:rsid w:val="1B947CC1"/>
    <w:rsid w:val="1B976F13"/>
    <w:rsid w:val="1B9B4DBA"/>
    <w:rsid w:val="1B9D631B"/>
    <w:rsid w:val="1BD45C17"/>
    <w:rsid w:val="1BD9698B"/>
    <w:rsid w:val="1C022D61"/>
    <w:rsid w:val="1C0C06E9"/>
    <w:rsid w:val="1C154A16"/>
    <w:rsid w:val="1C383656"/>
    <w:rsid w:val="1C6321D8"/>
    <w:rsid w:val="1C665EE2"/>
    <w:rsid w:val="1C954CB3"/>
    <w:rsid w:val="1CAD5119"/>
    <w:rsid w:val="1CC05221"/>
    <w:rsid w:val="1CC212F8"/>
    <w:rsid w:val="1CC449B6"/>
    <w:rsid w:val="1CC56C7A"/>
    <w:rsid w:val="1CDB1C78"/>
    <w:rsid w:val="1CE94A4C"/>
    <w:rsid w:val="1CEC0D90"/>
    <w:rsid w:val="1D165551"/>
    <w:rsid w:val="1D4D181E"/>
    <w:rsid w:val="1D735AE6"/>
    <w:rsid w:val="1DB80BD4"/>
    <w:rsid w:val="1DD178B8"/>
    <w:rsid w:val="1DD54B39"/>
    <w:rsid w:val="1DE859FC"/>
    <w:rsid w:val="1E081757"/>
    <w:rsid w:val="1E2D2904"/>
    <w:rsid w:val="1E3F4E0D"/>
    <w:rsid w:val="1E413FE1"/>
    <w:rsid w:val="1E84022E"/>
    <w:rsid w:val="1E9228E3"/>
    <w:rsid w:val="1E97349A"/>
    <w:rsid w:val="1E9F1807"/>
    <w:rsid w:val="1EA41285"/>
    <w:rsid w:val="1EE31814"/>
    <w:rsid w:val="1EEB1CFA"/>
    <w:rsid w:val="1EF23800"/>
    <w:rsid w:val="1EF80583"/>
    <w:rsid w:val="1F0402C0"/>
    <w:rsid w:val="1F0D54D2"/>
    <w:rsid w:val="1F225BF8"/>
    <w:rsid w:val="1F2C55E7"/>
    <w:rsid w:val="1F3C2BD8"/>
    <w:rsid w:val="1F3D1ABD"/>
    <w:rsid w:val="1F4125F2"/>
    <w:rsid w:val="1F4E7932"/>
    <w:rsid w:val="1F563069"/>
    <w:rsid w:val="1F5F092B"/>
    <w:rsid w:val="1F615A66"/>
    <w:rsid w:val="1F691C56"/>
    <w:rsid w:val="1F7B6AAF"/>
    <w:rsid w:val="1FB13222"/>
    <w:rsid w:val="1FDC57B9"/>
    <w:rsid w:val="1FE46F50"/>
    <w:rsid w:val="1FE77750"/>
    <w:rsid w:val="20296C21"/>
    <w:rsid w:val="2054269E"/>
    <w:rsid w:val="205B24AE"/>
    <w:rsid w:val="20647CE9"/>
    <w:rsid w:val="206843C4"/>
    <w:rsid w:val="20730B89"/>
    <w:rsid w:val="208351C2"/>
    <w:rsid w:val="20841CDA"/>
    <w:rsid w:val="208B0694"/>
    <w:rsid w:val="20B9542D"/>
    <w:rsid w:val="20FE2773"/>
    <w:rsid w:val="21191E93"/>
    <w:rsid w:val="21457A70"/>
    <w:rsid w:val="21D71D05"/>
    <w:rsid w:val="21EF6244"/>
    <w:rsid w:val="221E4CB1"/>
    <w:rsid w:val="223D2735"/>
    <w:rsid w:val="226A70C3"/>
    <w:rsid w:val="227D587F"/>
    <w:rsid w:val="228F33A1"/>
    <w:rsid w:val="229D1FA6"/>
    <w:rsid w:val="22B65128"/>
    <w:rsid w:val="22D3486C"/>
    <w:rsid w:val="23011142"/>
    <w:rsid w:val="230A0745"/>
    <w:rsid w:val="23222741"/>
    <w:rsid w:val="23446FA4"/>
    <w:rsid w:val="237E050B"/>
    <w:rsid w:val="23844C03"/>
    <w:rsid w:val="23B60D0E"/>
    <w:rsid w:val="23C30881"/>
    <w:rsid w:val="23C97CEF"/>
    <w:rsid w:val="23EA1A27"/>
    <w:rsid w:val="23FA22E6"/>
    <w:rsid w:val="23FF4918"/>
    <w:rsid w:val="24340672"/>
    <w:rsid w:val="246F2653"/>
    <w:rsid w:val="249E3364"/>
    <w:rsid w:val="24EC51FA"/>
    <w:rsid w:val="24FC509C"/>
    <w:rsid w:val="250E527E"/>
    <w:rsid w:val="2536658E"/>
    <w:rsid w:val="25627396"/>
    <w:rsid w:val="256E597F"/>
    <w:rsid w:val="257D2A39"/>
    <w:rsid w:val="257F3C4E"/>
    <w:rsid w:val="258E2FBC"/>
    <w:rsid w:val="25DB696C"/>
    <w:rsid w:val="25DC65E1"/>
    <w:rsid w:val="25E47088"/>
    <w:rsid w:val="25EE6F4F"/>
    <w:rsid w:val="25F82A07"/>
    <w:rsid w:val="2615047B"/>
    <w:rsid w:val="261F23FD"/>
    <w:rsid w:val="262522A0"/>
    <w:rsid w:val="266069F3"/>
    <w:rsid w:val="268564DD"/>
    <w:rsid w:val="2695380A"/>
    <w:rsid w:val="26AC5CCA"/>
    <w:rsid w:val="26AD4247"/>
    <w:rsid w:val="26F355E6"/>
    <w:rsid w:val="26FB45D4"/>
    <w:rsid w:val="278E28B5"/>
    <w:rsid w:val="2795443E"/>
    <w:rsid w:val="279A49FC"/>
    <w:rsid w:val="27A650FB"/>
    <w:rsid w:val="28023563"/>
    <w:rsid w:val="280522F3"/>
    <w:rsid w:val="2839111D"/>
    <w:rsid w:val="28424500"/>
    <w:rsid w:val="28496EE7"/>
    <w:rsid w:val="28581175"/>
    <w:rsid w:val="28BD3EE7"/>
    <w:rsid w:val="28C70CCA"/>
    <w:rsid w:val="28CB660C"/>
    <w:rsid w:val="295573B1"/>
    <w:rsid w:val="29557810"/>
    <w:rsid w:val="295F1F31"/>
    <w:rsid w:val="29980385"/>
    <w:rsid w:val="29A255EE"/>
    <w:rsid w:val="29AC5B26"/>
    <w:rsid w:val="29DA1599"/>
    <w:rsid w:val="2A037991"/>
    <w:rsid w:val="2A0F5281"/>
    <w:rsid w:val="2A3A7D8C"/>
    <w:rsid w:val="2A6778ED"/>
    <w:rsid w:val="2A8A35A2"/>
    <w:rsid w:val="2A8E32F7"/>
    <w:rsid w:val="2A9A6369"/>
    <w:rsid w:val="2AA21B59"/>
    <w:rsid w:val="2AD034A7"/>
    <w:rsid w:val="2AD1016B"/>
    <w:rsid w:val="2AFE66AA"/>
    <w:rsid w:val="2B3E2927"/>
    <w:rsid w:val="2B3F1304"/>
    <w:rsid w:val="2B42752B"/>
    <w:rsid w:val="2B4551C5"/>
    <w:rsid w:val="2B686B20"/>
    <w:rsid w:val="2B7C42ED"/>
    <w:rsid w:val="2B8D6AB3"/>
    <w:rsid w:val="2BA516AD"/>
    <w:rsid w:val="2BA5603C"/>
    <w:rsid w:val="2BAF1507"/>
    <w:rsid w:val="2BCF0247"/>
    <w:rsid w:val="2BFA52D8"/>
    <w:rsid w:val="2C041D8E"/>
    <w:rsid w:val="2C044A2B"/>
    <w:rsid w:val="2C0461D1"/>
    <w:rsid w:val="2C0559CB"/>
    <w:rsid w:val="2C2E1B04"/>
    <w:rsid w:val="2C433DD3"/>
    <w:rsid w:val="2C6A6369"/>
    <w:rsid w:val="2C701B6D"/>
    <w:rsid w:val="2CA63DBB"/>
    <w:rsid w:val="2CFE2A02"/>
    <w:rsid w:val="2D1B644A"/>
    <w:rsid w:val="2D2B527A"/>
    <w:rsid w:val="2D317874"/>
    <w:rsid w:val="2D511791"/>
    <w:rsid w:val="2D6A6FCC"/>
    <w:rsid w:val="2DA535A5"/>
    <w:rsid w:val="2DB9358D"/>
    <w:rsid w:val="2E085D4B"/>
    <w:rsid w:val="2E171C02"/>
    <w:rsid w:val="2E175F23"/>
    <w:rsid w:val="2E1B67A2"/>
    <w:rsid w:val="2E2C200D"/>
    <w:rsid w:val="2E5B5CBA"/>
    <w:rsid w:val="2E7D545C"/>
    <w:rsid w:val="2E954AF7"/>
    <w:rsid w:val="2EA17227"/>
    <w:rsid w:val="2EC9653A"/>
    <w:rsid w:val="2ED058D1"/>
    <w:rsid w:val="2F1E4537"/>
    <w:rsid w:val="2F331EC3"/>
    <w:rsid w:val="2F61213D"/>
    <w:rsid w:val="2F69215B"/>
    <w:rsid w:val="2F7D1364"/>
    <w:rsid w:val="2F954D33"/>
    <w:rsid w:val="2FC83B00"/>
    <w:rsid w:val="2FCF0C4B"/>
    <w:rsid w:val="2FEA7F68"/>
    <w:rsid w:val="2FEC2B12"/>
    <w:rsid w:val="2FF4579F"/>
    <w:rsid w:val="305A4ACF"/>
    <w:rsid w:val="30915A7F"/>
    <w:rsid w:val="309405F3"/>
    <w:rsid w:val="309F6ABB"/>
    <w:rsid w:val="30A36BB4"/>
    <w:rsid w:val="30C2597B"/>
    <w:rsid w:val="30DE24E6"/>
    <w:rsid w:val="30E846A0"/>
    <w:rsid w:val="30F967D4"/>
    <w:rsid w:val="31273F20"/>
    <w:rsid w:val="31316BB9"/>
    <w:rsid w:val="316D0145"/>
    <w:rsid w:val="317540AE"/>
    <w:rsid w:val="3176349D"/>
    <w:rsid w:val="31810DB9"/>
    <w:rsid w:val="318A2A84"/>
    <w:rsid w:val="31904CB0"/>
    <w:rsid w:val="31D72D03"/>
    <w:rsid w:val="31F46952"/>
    <w:rsid w:val="31F56BF6"/>
    <w:rsid w:val="320D5BD6"/>
    <w:rsid w:val="321727D3"/>
    <w:rsid w:val="322023DC"/>
    <w:rsid w:val="32691F2A"/>
    <w:rsid w:val="326974B1"/>
    <w:rsid w:val="327B2488"/>
    <w:rsid w:val="32916497"/>
    <w:rsid w:val="32930B87"/>
    <w:rsid w:val="329565F6"/>
    <w:rsid w:val="32957E0B"/>
    <w:rsid w:val="32964E5B"/>
    <w:rsid w:val="32E53134"/>
    <w:rsid w:val="32F4293D"/>
    <w:rsid w:val="333817D1"/>
    <w:rsid w:val="333D1A62"/>
    <w:rsid w:val="33524982"/>
    <w:rsid w:val="335C21E7"/>
    <w:rsid w:val="337173B0"/>
    <w:rsid w:val="337F0AAB"/>
    <w:rsid w:val="339A4A32"/>
    <w:rsid w:val="33D15F92"/>
    <w:rsid w:val="33DA2B04"/>
    <w:rsid w:val="340B1B75"/>
    <w:rsid w:val="34290F3D"/>
    <w:rsid w:val="34293289"/>
    <w:rsid w:val="342D0207"/>
    <w:rsid w:val="346F7E0D"/>
    <w:rsid w:val="349B1793"/>
    <w:rsid w:val="34A44048"/>
    <w:rsid w:val="34CC0602"/>
    <w:rsid w:val="34CD494B"/>
    <w:rsid w:val="34DE1FD6"/>
    <w:rsid w:val="34F302DC"/>
    <w:rsid w:val="35217E3B"/>
    <w:rsid w:val="35287899"/>
    <w:rsid w:val="35851268"/>
    <w:rsid w:val="359557F1"/>
    <w:rsid w:val="35AE3102"/>
    <w:rsid w:val="35B85B28"/>
    <w:rsid w:val="36191BFB"/>
    <w:rsid w:val="362E4A62"/>
    <w:rsid w:val="36D145A5"/>
    <w:rsid w:val="36DB7A54"/>
    <w:rsid w:val="36F03612"/>
    <w:rsid w:val="372D13BD"/>
    <w:rsid w:val="376C79B4"/>
    <w:rsid w:val="37796E4A"/>
    <w:rsid w:val="37821CFD"/>
    <w:rsid w:val="37A47A73"/>
    <w:rsid w:val="37C53636"/>
    <w:rsid w:val="37E36814"/>
    <w:rsid w:val="383F5FE4"/>
    <w:rsid w:val="3899376C"/>
    <w:rsid w:val="38A4740C"/>
    <w:rsid w:val="38AC6689"/>
    <w:rsid w:val="38B83FB3"/>
    <w:rsid w:val="38F37C09"/>
    <w:rsid w:val="38F7722A"/>
    <w:rsid w:val="38F80D91"/>
    <w:rsid w:val="391E708B"/>
    <w:rsid w:val="39241B86"/>
    <w:rsid w:val="39261FCD"/>
    <w:rsid w:val="39456B72"/>
    <w:rsid w:val="39592AA2"/>
    <w:rsid w:val="398213CD"/>
    <w:rsid w:val="398C1CF0"/>
    <w:rsid w:val="398D4A17"/>
    <w:rsid w:val="39965008"/>
    <w:rsid w:val="39BA4B8B"/>
    <w:rsid w:val="39ED3566"/>
    <w:rsid w:val="39FA2155"/>
    <w:rsid w:val="3A516DD4"/>
    <w:rsid w:val="3A592DA5"/>
    <w:rsid w:val="3A59437E"/>
    <w:rsid w:val="3A701A03"/>
    <w:rsid w:val="3A704C9F"/>
    <w:rsid w:val="3A76762B"/>
    <w:rsid w:val="3A915B47"/>
    <w:rsid w:val="3AA74754"/>
    <w:rsid w:val="3AB52BA3"/>
    <w:rsid w:val="3ACC5C4B"/>
    <w:rsid w:val="3AD43992"/>
    <w:rsid w:val="3AE33E1D"/>
    <w:rsid w:val="3B054444"/>
    <w:rsid w:val="3B2F19E3"/>
    <w:rsid w:val="3B335CC8"/>
    <w:rsid w:val="3B346BA1"/>
    <w:rsid w:val="3B42376F"/>
    <w:rsid w:val="3B6B9A6B"/>
    <w:rsid w:val="3B956416"/>
    <w:rsid w:val="3B9D3A9E"/>
    <w:rsid w:val="3BFE0462"/>
    <w:rsid w:val="3C0A10B8"/>
    <w:rsid w:val="3C3C2AF5"/>
    <w:rsid w:val="3C5A7A26"/>
    <w:rsid w:val="3C750EA7"/>
    <w:rsid w:val="3C901F36"/>
    <w:rsid w:val="3C960070"/>
    <w:rsid w:val="3CB10B9B"/>
    <w:rsid w:val="3CB6668B"/>
    <w:rsid w:val="3CC33275"/>
    <w:rsid w:val="3CE12915"/>
    <w:rsid w:val="3D423475"/>
    <w:rsid w:val="3D52654B"/>
    <w:rsid w:val="3D56738A"/>
    <w:rsid w:val="3D605F89"/>
    <w:rsid w:val="3D71680A"/>
    <w:rsid w:val="3D974D17"/>
    <w:rsid w:val="3E024266"/>
    <w:rsid w:val="3E0B6E71"/>
    <w:rsid w:val="3E0F1CE1"/>
    <w:rsid w:val="3E607DFA"/>
    <w:rsid w:val="3E6A7FA1"/>
    <w:rsid w:val="3E8405B6"/>
    <w:rsid w:val="3EA45A2B"/>
    <w:rsid w:val="3EAA23B7"/>
    <w:rsid w:val="3EC62E63"/>
    <w:rsid w:val="3EDF7689"/>
    <w:rsid w:val="3EE24CEC"/>
    <w:rsid w:val="3F36461E"/>
    <w:rsid w:val="3F436845"/>
    <w:rsid w:val="3F53363C"/>
    <w:rsid w:val="3F642A2B"/>
    <w:rsid w:val="3F6C29A0"/>
    <w:rsid w:val="3F891BB5"/>
    <w:rsid w:val="3F8E6F41"/>
    <w:rsid w:val="3F9540C8"/>
    <w:rsid w:val="3FBA7E28"/>
    <w:rsid w:val="3FC05C00"/>
    <w:rsid w:val="3FE03674"/>
    <w:rsid w:val="3FF17BEA"/>
    <w:rsid w:val="403924AC"/>
    <w:rsid w:val="404E6AD0"/>
    <w:rsid w:val="4072242A"/>
    <w:rsid w:val="408879F7"/>
    <w:rsid w:val="409112DB"/>
    <w:rsid w:val="40A56BEC"/>
    <w:rsid w:val="40C445C0"/>
    <w:rsid w:val="40C702B4"/>
    <w:rsid w:val="40D17AE9"/>
    <w:rsid w:val="40DB789B"/>
    <w:rsid w:val="40DC68A2"/>
    <w:rsid w:val="41217BA2"/>
    <w:rsid w:val="41230478"/>
    <w:rsid w:val="412A76E6"/>
    <w:rsid w:val="415F7E02"/>
    <w:rsid w:val="417C1E33"/>
    <w:rsid w:val="418F600A"/>
    <w:rsid w:val="41A26C62"/>
    <w:rsid w:val="41C51A2C"/>
    <w:rsid w:val="41D31521"/>
    <w:rsid w:val="42441B22"/>
    <w:rsid w:val="424E297D"/>
    <w:rsid w:val="424F5BB2"/>
    <w:rsid w:val="4252746F"/>
    <w:rsid w:val="42683A1F"/>
    <w:rsid w:val="426E10FA"/>
    <w:rsid w:val="426E4BF0"/>
    <w:rsid w:val="42941905"/>
    <w:rsid w:val="42A3724D"/>
    <w:rsid w:val="42AC72F7"/>
    <w:rsid w:val="42B36703"/>
    <w:rsid w:val="42B64D9A"/>
    <w:rsid w:val="42CF3600"/>
    <w:rsid w:val="430025BC"/>
    <w:rsid w:val="43142B7B"/>
    <w:rsid w:val="43340FBA"/>
    <w:rsid w:val="434834E1"/>
    <w:rsid w:val="43487EA7"/>
    <w:rsid w:val="43582526"/>
    <w:rsid w:val="438217AE"/>
    <w:rsid w:val="439A139C"/>
    <w:rsid w:val="439D6CE4"/>
    <w:rsid w:val="43A92DA8"/>
    <w:rsid w:val="43D2123D"/>
    <w:rsid w:val="43E73C9D"/>
    <w:rsid w:val="43F14CD5"/>
    <w:rsid w:val="43F6175D"/>
    <w:rsid w:val="44061E44"/>
    <w:rsid w:val="444059B8"/>
    <w:rsid w:val="44617A4C"/>
    <w:rsid w:val="446A2417"/>
    <w:rsid w:val="44AD2606"/>
    <w:rsid w:val="44BB1935"/>
    <w:rsid w:val="44CC43A3"/>
    <w:rsid w:val="456A6951"/>
    <w:rsid w:val="45BD54F4"/>
    <w:rsid w:val="45EC0CF9"/>
    <w:rsid w:val="46820877"/>
    <w:rsid w:val="46C851C7"/>
    <w:rsid w:val="46CF7E3A"/>
    <w:rsid w:val="46EE67FC"/>
    <w:rsid w:val="46FF7EDA"/>
    <w:rsid w:val="470E7E70"/>
    <w:rsid w:val="47211281"/>
    <w:rsid w:val="47286F1E"/>
    <w:rsid w:val="477E0C14"/>
    <w:rsid w:val="47D17297"/>
    <w:rsid w:val="481B2A0E"/>
    <w:rsid w:val="482D79B6"/>
    <w:rsid w:val="484B6D5E"/>
    <w:rsid w:val="484C17B0"/>
    <w:rsid w:val="48650157"/>
    <w:rsid w:val="4880077E"/>
    <w:rsid w:val="48B65B6A"/>
    <w:rsid w:val="48D90B8D"/>
    <w:rsid w:val="4904473D"/>
    <w:rsid w:val="49492722"/>
    <w:rsid w:val="49695377"/>
    <w:rsid w:val="49C6749D"/>
    <w:rsid w:val="49CD52A6"/>
    <w:rsid w:val="49D9552A"/>
    <w:rsid w:val="4A2A5E3A"/>
    <w:rsid w:val="4A477482"/>
    <w:rsid w:val="4A511849"/>
    <w:rsid w:val="4A782915"/>
    <w:rsid w:val="4A807238"/>
    <w:rsid w:val="4A814313"/>
    <w:rsid w:val="4A844ED1"/>
    <w:rsid w:val="4A917938"/>
    <w:rsid w:val="4A9F351E"/>
    <w:rsid w:val="4AC82401"/>
    <w:rsid w:val="4AE07CD9"/>
    <w:rsid w:val="4B056AF6"/>
    <w:rsid w:val="4B0570D4"/>
    <w:rsid w:val="4B172EF8"/>
    <w:rsid w:val="4B601087"/>
    <w:rsid w:val="4B8E3976"/>
    <w:rsid w:val="4BAC7D52"/>
    <w:rsid w:val="4BC845F3"/>
    <w:rsid w:val="4BCA3E12"/>
    <w:rsid w:val="4BCB40E3"/>
    <w:rsid w:val="4BD977D3"/>
    <w:rsid w:val="4BE3442D"/>
    <w:rsid w:val="4BEB0140"/>
    <w:rsid w:val="4C013D0E"/>
    <w:rsid w:val="4C243284"/>
    <w:rsid w:val="4C5E4326"/>
    <w:rsid w:val="4C75523A"/>
    <w:rsid w:val="4C9E34F6"/>
    <w:rsid w:val="4CC76780"/>
    <w:rsid w:val="4CE43B83"/>
    <w:rsid w:val="4CE9171D"/>
    <w:rsid w:val="4D084675"/>
    <w:rsid w:val="4D0C1C66"/>
    <w:rsid w:val="4D3A0C0F"/>
    <w:rsid w:val="4D4E0E75"/>
    <w:rsid w:val="4D661A04"/>
    <w:rsid w:val="4DAD4DAA"/>
    <w:rsid w:val="4DB4066E"/>
    <w:rsid w:val="4DC118F9"/>
    <w:rsid w:val="4DCD404D"/>
    <w:rsid w:val="4DD01560"/>
    <w:rsid w:val="4DD76810"/>
    <w:rsid w:val="4DDA060D"/>
    <w:rsid w:val="4DDA4675"/>
    <w:rsid w:val="4DEC17C4"/>
    <w:rsid w:val="4DEC686D"/>
    <w:rsid w:val="4DFE222E"/>
    <w:rsid w:val="4E0850A4"/>
    <w:rsid w:val="4E202A02"/>
    <w:rsid w:val="4E39792F"/>
    <w:rsid w:val="4E611DD0"/>
    <w:rsid w:val="4E6E2A84"/>
    <w:rsid w:val="4E6F6F57"/>
    <w:rsid w:val="4E7C3473"/>
    <w:rsid w:val="4E914D5A"/>
    <w:rsid w:val="4E9867CF"/>
    <w:rsid w:val="4EB93E90"/>
    <w:rsid w:val="4F1E7C77"/>
    <w:rsid w:val="4F3C0DDB"/>
    <w:rsid w:val="4F67434B"/>
    <w:rsid w:val="4F7030BD"/>
    <w:rsid w:val="4F935D98"/>
    <w:rsid w:val="4F95796E"/>
    <w:rsid w:val="4FAF4CE1"/>
    <w:rsid w:val="4FB35339"/>
    <w:rsid w:val="4FBC2C58"/>
    <w:rsid w:val="4FE856E7"/>
    <w:rsid w:val="4FEF66B6"/>
    <w:rsid w:val="4FF52FAF"/>
    <w:rsid w:val="5010523D"/>
    <w:rsid w:val="50152AD6"/>
    <w:rsid w:val="503C776C"/>
    <w:rsid w:val="504B5B88"/>
    <w:rsid w:val="506064DF"/>
    <w:rsid w:val="50A16E57"/>
    <w:rsid w:val="50AA0D58"/>
    <w:rsid w:val="50AB737F"/>
    <w:rsid w:val="50AC73E9"/>
    <w:rsid w:val="50B53479"/>
    <w:rsid w:val="50CE1413"/>
    <w:rsid w:val="50DC1B60"/>
    <w:rsid w:val="5107064E"/>
    <w:rsid w:val="5110644A"/>
    <w:rsid w:val="511963DE"/>
    <w:rsid w:val="51272041"/>
    <w:rsid w:val="523153EB"/>
    <w:rsid w:val="523F3A52"/>
    <w:rsid w:val="5240260A"/>
    <w:rsid w:val="52837A05"/>
    <w:rsid w:val="528B637A"/>
    <w:rsid w:val="52C5601C"/>
    <w:rsid w:val="52C62950"/>
    <w:rsid w:val="53092099"/>
    <w:rsid w:val="53120F10"/>
    <w:rsid w:val="533033F3"/>
    <w:rsid w:val="53685D78"/>
    <w:rsid w:val="5373375A"/>
    <w:rsid w:val="53D1182F"/>
    <w:rsid w:val="53D400B9"/>
    <w:rsid w:val="53D56070"/>
    <w:rsid w:val="54121FDD"/>
    <w:rsid w:val="5443683F"/>
    <w:rsid w:val="544F218A"/>
    <w:rsid w:val="54592F89"/>
    <w:rsid w:val="545F46A6"/>
    <w:rsid w:val="54990AF2"/>
    <w:rsid w:val="54B30FDA"/>
    <w:rsid w:val="54D83249"/>
    <w:rsid w:val="54F077C7"/>
    <w:rsid w:val="550A1E73"/>
    <w:rsid w:val="551F3D11"/>
    <w:rsid w:val="554205F6"/>
    <w:rsid w:val="556F43E7"/>
    <w:rsid w:val="557F3B7A"/>
    <w:rsid w:val="55A33219"/>
    <w:rsid w:val="55A72855"/>
    <w:rsid w:val="55F304BE"/>
    <w:rsid w:val="55FB615F"/>
    <w:rsid w:val="560C08A6"/>
    <w:rsid w:val="560F3173"/>
    <w:rsid w:val="561810E5"/>
    <w:rsid w:val="561A00AE"/>
    <w:rsid w:val="564F06F7"/>
    <w:rsid w:val="56575909"/>
    <w:rsid w:val="566B1A2B"/>
    <w:rsid w:val="56787559"/>
    <w:rsid w:val="568E2B6F"/>
    <w:rsid w:val="56A45C5C"/>
    <w:rsid w:val="56A8070F"/>
    <w:rsid w:val="56BC6943"/>
    <w:rsid w:val="570D5D1A"/>
    <w:rsid w:val="577878B7"/>
    <w:rsid w:val="578155D0"/>
    <w:rsid w:val="57864ECA"/>
    <w:rsid w:val="57870497"/>
    <w:rsid w:val="579757AA"/>
    <w:rsid w:val="57C57E1E"/>
    <w:rsid w:val="57C82245"/>
    <w:rsid w:val="57EB7B03"/>
    <w:rsid w:val="58035BF4"/>
    <w:rsid w:val="581441BF"/>
    <w:rsid w:val="58470F64"/>
    <w:rsid w:val="585310B8"/>
    <w:rsid w:val="5859096E"/>
    <w:rsid w:val="585A2A77"/>
    <w:rsid w:val="58693D21"/>
    <w:rsid w:val="586C505B"/>
    <w:rsid w:val="587F5C96"/>
    <w:rsid w:val="588F708D"/>
    <w:rsid w:val="58975A79"/>
    <w:rsid w:val="58A239CD"/>
    <w:rsid w:val="58D1393E"/>
    <w:rsid w:val="58E16A02"/>
    <w:rsid w:val="58FD6B46"/>
    <w:rsid w:val="58FF3A82"/>
    <w:rsid w:val="591069FC"/>
    <w:rsid w:val="592F68F6"/>
    <w:rsid w:val="59386377"/>
    <w:rsid w:val="593D63D2"/>
    <w:rsid w:val="59916E34"/>
    <w:rsid w:val="5992436F"/>
    <w:rsid w:val="59AB4457"/>
    <w:rsid w:val="59BA74E6"/>
    <w:rsid w:val="59CA5007"/>
    <w:rsid w:val="59D70FAC"/>
    <w:rsid w:val="59DC5988"/>
    <w:rsid w:val="59DF4FED"/>
    <w:rsid w:val="59FF0742"/>
    <w:rsid w:val="5A0D7C21"/>
    <w:rsid w:val="5A166395"/>
    <w:rsid w:val="5A184FD7"/>
    <w:rsid w:val="5A32157A"/>
    <w:rsid w:val="5A33195B"/>
    <w:rsid w:val="5A4462FE"/>
    <w:rsid w:val="5A752F54"/>
    <w:rsid w:val="5A7E1BBB"/>
    <w:rsid w:val="5ACB575B"/>
    <w:rsid w:val="5ADA5B51"/>
    <w:rsid w:val="5AEF2C21"/>
    <w:rsid w:val="5AFB5846"/>
    <w:rsid w:val="5B3C4B26"/>
    <w:rsid w:val="5B4942E2"/>
    <w:rsid w:val="5B6C4539"/>
    <w:rsid w:val="5B7A5F14"/>
    <w:rsid w:val="5B8F47E5"/>
    <w:rsid w:val="5B987D76"/>
    <w:rsid w:val="5B9C67A0"/>
    <w:rsid w:val="5BC21993"/>
    <w:rsid w:val="5BD84D64"/>
    <w:rsid w:val="5BE73BC0"/>
    <w:rsid w:val="5BF25F07"/>
    <w:rsid w:val="5BFD0F0E"/>
    <w:rsid w:val="5C003171"/>
    <w:rsid w:val="5C15514E"/>
    <w:rsid w:val="5C255E45"/>
    <w:rsid w:val="5C35254F"/>
    <w:rsid w:val="5C3C7D5C"/>
    <w:rsid w:val="5C5703D7"/>
    <w:rsid w:val="5C58608A"/>
    <w:rsid w:val="5C5B7DD8"/>
    <w:rsid w:val="5C700292"/>
    <w:rsid w:val="5C8732A7"/>
    <w:rsid w:val="5CAF2588"/>
    <w:rsid w:val="5CD418D5"/>
    <w:rsid w:val="5CFE7553"/>
    <w:rsid w:val="5D0335AD"/>
    <w:rsid w:val="5D16647C"/>
    <w:rsid w:val="5D4E646B"/>
    <w:rsid w:val="5D5C460C"/>
    <w:rsid w:val="5D73AB06"/>
    <w:rsid w:val="5D7A0D13"/>
    <w:rsid w:val="5DA11429"/>
    <w:rsid w:val="5DA55886"/>
    <w:rsid w:val="5DC937C4"/>
    <w:rsid w:val="5DD03C19"/>
    <w:rsid w:val="5E633FA6"/>
    <w:rsid w:val="5E8D301D"/>
    <w:rsid w:val="5EAE1A5C"/>
    <w:rsid w:val="5EBE717D"/>
    <w:rsid w:val="5EC768BC"/>
    <w:rsid w:val="5ECE7BD4"/>
    <w:rsid w:val="5F0232FB"/>
    <w:rsid w:val="5F027E06"/>
    <w:rsid w:val="5F397667"/>
    <w:rsid w:val="5F3E2AA9"/>
    <w:rsid w:val="5F532540"/>
    <w:rsid w:val="5F756689"/>
    <w:rsid w:val="5F7D2C42"/>
    <w:rsid w:val="5F8B78DC"/>
    <w:rsid w:val="5F8E1275"/>
    <w:rsid w:val="5F9A3218"/>
    <w:rsid w:val="5FA402C0"/>
    <w:rsid w:val="5FB10421"/>
    <w:rsid w:val="5FCE7BE5"/>
    <w:rsid w:val="60016371"/>
    <w:rsid w:val="60033725"/>
    <w:rsid w:val="60065192"/>
    <w:rsid w:val="600978D0"/>
    <w:rsid w:val="600C26C9"/>
    <w:rsid w:val="602A70EF"/>
    <w:rsid w:val="604A61F0"/>
    <w:rsid w:val="60583D40"/>
    <w:rsid w:val="60794462"/>
    <w:rsid w:val="6092383B"/>
    <w:rsid w:val="60A771CE"/>
    <w:rsid w:val="60D36CFD"/>
    <w:rsid w:val="60FE7A23"/>
    <w:rsid w:val="61054874"/>
    <w:rsid w:val="611B6B1B"/>
    <w:rsid w:val="611E5A05"/>
    <w:rsid w:val="612E3C82"/>
    <w:rsid w:val="61406B84"/>
    <w:rsid w:val="61676258"/>
    <w:rsid w:val="616F46CD"/>
    <w:rsid w:val="61BF452E"/>
    <w:rsid w:val="61D00DE6"/>
    <w:rsid w:val="61D76CC9"/>
    <w:rsid w:val="61E46E2C"/>
    <w:rsid w:val="61E54F69"/>
    <w:rsid w:val="61EF57E0"/>
    <w:rsid w:val="61F40BD2"/>
    <w:rsid w:val="61F7789A"/>
    <w:rsid w:val="62096638"/>
    <w:rsid w:val="624411C5"/>
    <w:rsid w:val="62617E1F"/>
    <w:rsid w:val="62656075"/>
    <w:rsid w:val="62686137"/>
    <w:rsid w:val="626978FE"/>
    <w:rsid w:val="626A66DF"/>
    <w:rsid w:val="627B0790"/>
    <w:rsid w:val="628276E9"/>
    <w:rsid w:val="629821B5"/>
    <w:rsid w:val="629B63CA"/>
    <w:rsid w:val="62A331AB"/>
    <w:rsid w:val="62AF1C11"/>
    <w:rsid w:val="62EF5EBC"/>
    <w:rsid w:val="62F6153B"/>
    <w:rsid w:val="6301639D"/>
    <w:rsid w:val="631F15FC"/>
    <w:rsid w:val="632A0B2F"/>
    <w:rsid w:val="63417318"/>
    <w:rsid w:val="636F74AE"/>
    <w:rsid w:val="6372556A"/>
    <w:rsid w:val="63977066"/>
    <w:rsid w:val="63C94F54"/>
    <w:rsid w:val="63CC40F4"/>
    <w:rsid w:val="63F24533"/>
    <w:rsid w:val="63FC0718"/>
    <w:rsid w:val="641C0E02"/>
    <w:rsid w:val="642113CB"/>
    <w:rsid w:val="64225C79"/>
    <w:rsid w:val="645207B9"/>
    <w:rsid w:val="646853DE"/>
    <w:rsid w:val="646C4DBC"/>
    <w:rsid w:val="64A410F6"/>
    <w:rsid w:val="64CC2606"/>
    <w:rsid w:val="64DB6483"/>
    <w:rsid w:val="65016032"/>
    <w:rsid w:val="650C36F9"/>
    <w:rsid w:val="65293DCD"/>
    <w:rsid w:val="653158C1"/>
    <w:rsid w:val="653325E9"/>
    <w:rsid w:val="654938AF"/>
    <w:rsid w:val="65710F93"/>
    <w:rsid w:val="65721804"/>
    <w:rsid w:val="657E44E0"/>
    <w:rsid w:val="659C4276"/>
    <w:rsid w:val="65D034C3"/>
    <w:rsid w:val="65E1052F"/>
    <w:rsid w:val="66014151"/>
    <w:rsid w:val="662F43F1"/>
    <w:rsid w:val="66533A7E"/>
    <w:rsid w:val="66652D12"/>
    <w:rsid w:val="669A2B2C"/>
    <w:rsid w:val="669E2748"/>
    <w:rsid w:val="669E68B5"/>
    <w:rsid w:val="66A1344F"/>
    <w:rsid w:val="66D47464"/>
    <w:rsid w:val="66DA09A6"/>
    <w:rsid w:val="66E254E3"/>
    <w:rsid w:val="66E87310"/>
    <w:rsid w:val="671F5F88"/>
    <w:rsid w:val="672C7163"/>
    <w:rsid w:val="672D5B4F"/>
    <w:rsid w:val="673E5D47"/>
    <w:rsid w:val="678D649C"/>
    <w:rsid w:val="679C2263"/>
    <w:rsid w:val="67D03E29"/>
    <w:rsid w:val="67E26918"/>
    <w:rsid w:val="67F1262F"/>
    <w:rsid w:val="67F52FC6"/>
    <w:rsid w:val="68244728"/>
    <w:rsid w:val="68295987"/>
    <w:rsid w:val="683255F0"/>
    <w:rsid w:val="68327A8E"/>
    <w:rsid w:val="688C367D"/>
    <w:rsid w:val="689D05B4"/>
    <w:rsid w:val="68DB4252"/>
    <w:rsid w:val="68EC030F"/>
    <w:rsid w:val="69106539"/>
    <w:rsid w:val="69205616"/>
    <w:rsid w:val="69315911"/>
    <w:rsid w:val="695F26E9"/>
    <w:rsid w:val="69742358"/>
    <w:rsid w:val="69871B82"/>
    <w:rsid w:val="698D24DD"/>
    <w:rsid w:val="69952D33"/>
    <w:rsid w:val="69A84882"/>
    <w:rsid w:val="69CF499D"/>
    <w:rsid w:val="69D77EF8"/>
    <w:rsid w:val="69F04246"/>
    <w:rsid w:val="6A0F6835"/>
    <w:rsid w:val="6A434CE8"/>
    <w:rsid w:val="6A5512F0"/>
    <w:rsid w:val="6A5A12B5"/>
    <w:rsid w:val="6A717100"/>
    <w:rsid w:val="6A991B3D"/>
    <w:rsid w:val="6AD31B21"/>
    <w:rsid w:val="6AD905C4"/>
    <w:rsid w:val="6AEC34E8"/>
    <w:rsid w:val="6AEC5DE1"/>
    <w:rsid w:val="6AF9477B"/>
    <w:rsid w:val="6AFD1D5E"/>
    <w:rsid w:val="6B143D78"/>
    <w:rsid w:val="6B14613B"/>
    <w:rsid w:val="6B263667"/>
    <w:rsid w:val="6B761DF5"/>
    <w:rsid w:val="6B785855"/>
    <w:rsid w:val="6B8271A3"/>
    <w:rsid w:val="6B8C0D41"/>
    <w:rsid w:val="6BA0212D"/>
    <w:rsid w:val="6BAF19A5"/>
    <w:rsid w:val="6BCB6E45"/>
    <w:rsid w:val="6BD7542D"/>
    <w:rsid w:val="6BF008E9"/>
    <w:rsid w:val="6C706579"/>
    <w:rsid w:val="6CA85682"/>
    <w:rsid w:val="6CBB43E2"/>
    <w:rsid w:val="6CBD64D2"/>
    <w:rsid w:val="6CD5552E"/>
    <w:rsid w:val="6CEB6905"/>
    <w:rsid w:val="6D096DD3"/>
    <w:rsid w:val="6D0B213A"/>
    <w:rsid w:val="6D0F2147"/>
    <w:rsid w:val="6D194D0C"/>
    <w:rsid w:val="6D2C544D"/>
    <w:rsid w:val="6D49649D"/>
    <w:rsid w:val="6D577845"/>
    <w:rsid w:val="6D8C4D6E"/>
    <w:rsid w:val="6D9970CA"/>
    <w:rsid w:val="6DA044A1"/>
    <w:rsid w:val="6DA15BD5"/>
    <w:rsid w:val="6DA96420"/>
    <w:rsid w:val="6DDC75A2"/>
    <w:rsid w:val="6E01708B"/>
    <w:rsid w:val="6E2B1EE2"/>
    <w:rsid w:val="6E463221"/>
    <w:rsid w:val="6E6A73EC"/>
    <w:rsid w:val="6E865802"/>
    <w:rsid w:val="6E8923F6"/>
    <w:rsid w:val="6E8D7488"/>
    <w:rsid w:val="6EC35C65"/>
    <w:rsid w:val="6ED42605"/>
    <w:rsid w:val="6EE5024F"/>
    <w:rsid w:val="6EF0260A"/>
    <w:rsid w:val="6F017B76"/>
    <w:rsid w:val="6F235634"/>
    <w:rsid w:val="6F44311C"/>
    <w:rsid w:val="6F6F7263"/>
    <w:rsid w:val="6F7D087A"/>
    <w:rsid w:val="6F97435B"/>
    <w:rsid w:val="6F9E3000"/>
    <w:rsid w:val="6FA132F9"/>
    <w:rsid w:val="6FE33168"/>
    <w:rsid w:val="7008141F"/>
    <w:rsid w:val="70135150"/>
    <w:rsid w:val="70211C3D"/>
    <w:rsid w:val="70263B9D"/>
    <w:rsid w:val="70290BAC"/>
    <w:rsid w:val="703D180A"/>
    <w:rsid w:val="703E0A0F"/>
    <w:rsid w:val="70412FF9"/>
    <w:rsid w:val="70541064"/>
    <w:rsid w:val="70547BE7"/>
    <w:rsid w:val="7057544A"/>
    <w:rsid w:val="70802D45"/>
    <w:rsid w:val="70877880"/>
    <w:rsid w:val="709A78DB"/>
    <w:rsid w:val="70A24B63"/>
    <w:rsid w:val="70CE5E39"/>
    <w:rsid w:val="70D71390"/>
    <w:rsid w:val="70DC4689"/>
    <w:rsid w:val="70F537D8"/>
    <w:rsid w:val="711315BD"/>
    <w:rsid w:val="713754CF"/>
    <w:rsid w:val="71421D96"/>
    <w:rsid w:val="71634716"/>
    <w:rsid w:val="716F713B"/>
    <w:rsid w:val="71853D2D"/>
    <w:rsid w:val="719412A8"/>
    <w:rsid w:val="71D13ACA"/>
    <w:rsid w:val="71DE1823"/>
    <w:rsid w:val="71DF70A8"/>
    <w:rsid w:val="71F96B31"/>
    <w:rsid w:val="720244D9"/>
    <w:rsid w:val="7228573A"/>
    <w:rsid w:val="7235582C"/>
    <w:rsid w:val="724E25CA"/>
    <w:rsid w:val="72625CAA"/>
    <w:rsid w:val="726E053E"/>
    <w:rsid w:val="72732652"/>
    <w:rsid w:val="72781989"/>
    <w:rsid w:val="727E1A5E"/>
    <w:rsid w:val="72AE6A06"/>
    <w:rsid w:val="72B311EA"/>
    <w:rsid w:val="72C459F3"/>
    <w:rsid w:val="72CD1A9F"/>
    <w:rsid w:val="73080E1E"/>
    <w:rsid w:val="730E14D2"/>
    <w:rsid w:val="731C5583"/>
    <w:rsid w:val="732B075E"/>
    <w:rsid w:val="73342590"/>
    <w:rsid w:val="735008A6"/>
    <w:rsid w:val="73C30EB7"/>
    <w:rsid w:val="73D05A93"/>
    <w:rsid w:val="73FCFA2E"/>
    <w:rsid w:val="741551DE"/>
    <w:rsid w:val="742963D6"/>
    <w:rsid w:val="743F4E68"/>
    <w:rsid w:val="744E128A"/>
    <w:rsid w:val="749556EA"/>
    <w:rsid w:val="74B74DF3"/>
    <w:rsid w:val="74B75A23"/>
    <w:rsid w:val="74DA5136"/>
    <w:rsid w:val="752421AE"/>
    <w:rsid w:val="75AA53FA"/>
    <w:rsid w:val="75AE091A"/>
    <w:rsid w:val="75B257CF"/>
    <w:rsid w:val="75C13839"/>
    <w:rsid w:val="75C3671D"/>
    <w:rsid w:val="75CF2FF8"/>
    <w:rsid w:val="75D94016"/>
    <w:rsid w:val="75FE0B62"/>
    <w:rsid w:val="763F51EC"/>
    <w:rsid w:val="764A6F7E"/>
    <w:rsid w:val="765353CE"/>
    <w:rsid w:val="76792B9C"/>
    <w:rsid w:val="769F4D3C"/>
    <w:rsid w:val="76AA2B3B"/>
    <w:rsid w:val="76C665F0"/>
    <w:rsid w:val="76DD514E"/>
    <w:rsid w:val="76EE4868"/>
    <w:rsid w:val="77160736"/>
    <w:rsid w:val="772271F7"/>
    <w:rsid w:val="773417D1"/>
    <w:rsid w:val="773418AC"/>
    <w:rsid w:val="77447893"/>
    <w:rsid w:val="777A416F"/>
    <w:rsid w:val="77B238DE"/>
    <w:rsid w:val="77C920FD"/>
    <w:rsid w:val="77E40F31"/>
    <w:rsid w:val="782D780C"/>
    <w:rsid w:val="78653D96"/>
    <w:rsid w:val="78727215"/>
    <w:rsid w:val="78835EAA"/>
    <w:rsid w:val="789F5C47"/>
    <w:rsid w:val="78C2387E"/>
    <w:rsid w:val="78EA3B70"/>
    <w:rsid w:val="78EC72C3"/>
    <w:rsid w:val="79170C60"/>
    <w:rsid w:val="79184A5F"/>
    <w:rsid w:val="792059D2"/>
    <w:rsid w:val="79267A55"/>
    <w:rsid w:val="795951AE"/>
    <w:rsid w:val="796926C2"/>
    <w:rsid w:val="79766723"/>
    <w:rsid w:val="797D3F93"/>
    <w:rsid w:val="79857EBE"/>
    <w:rsid w:val="79D511C8"/>
    <w:rsid w:val="79F65BD9"/>
    <w:rsid w:val="79FE7A1C"/>
    <w:rsid w:val="7A297A0F"/>
    <w:rsid w:val="7A4A2CBA"/>
    <w:rsid w:val="7A6E17B2"/>
    <w:rsid w:val="7A7607F4"/>
    <w:rsid w:val="7AA53D49"/>
    <w:rsid w:val="7AA95E42"/>
    <w:rsid w:val="7AAB2B7F"/>
    <w:rsid w:val="7ABB6BB3"/>
    <w:rsid w:val="7ABF6D83"/>
    <w:rsid w:val="7ADA1834"/>
    <w:rsid w:val="7B0754AB"/>
    <w:rsid w:val="7B550C74"/>
    <w:rsid w:val="7B8B5655"/>
    <w:rsid w:val="7BAB3E75"/>
    <w:rsid w:val="7BAE04B0"/>
    <w:rsid w:val="7BBD58D0"/>
    <w:rsid w:val="7BDF4468"/>
    <w:rsid w:val="7BEFDAEE"/>
    <w:rsid w:val="7C3B3C24"/>
    <w:rsid w:val="7C431005"/>
    <w:rsid w:val="7C4C12F1"/>
    <w:rsid w:val="7C4D76BE"/>
    <w:rsid w:val="7C601745"/>
    <w:rsid w:val="7C6C7A77"/>
    <w:rsid w:val="7CDE72A4"/>
    <w:rsid w:val="7CF455A7"/>
    <w:rsid w:val="7D175CFF"/>
    <w:rsid w:val="7D2047A6"/>
    <w:rsid w:val="7D2A7BBD"/>
    <w:rsid w:val="7D2B28BE"/>
    <w:rsid w:val="7D3E5E7F"/>
    <w:rsid w:val="7D493313"/>
    <w:rsid w:val="7D57322C"/>
    <w:rsid w:val="7D663DE0"/>
    <w:rsid w:val="7D6D13FF"/>
    <w:rsid w:val="7D6E7E61"/>
    <w:rsid w:val="7D72572A"/>
    <w:rsid w:val="7D8E6AD6"/>
    <w:rsid w:val="7DB74C91"/>
    <w:rsid w:val="7DFB24A6"/>
    <w:rsid w:val="7E6668DE"/>
    <w:rsid w:val="7E6A7451"/>
    <w:rsid w:val="7E7A3363"/>
    <w:rsid w:val="7E7D7BED"/>
    <w:rsid w:val="7E851F9D"/>
    <w:rsid w:val="7E8A531C"/>
    <w:rsid w:val="7EDB6AAE"/>
    <w:rsid w:val="7EF51B23"/>
    <w:rsid w:val="7F1F2D45"/>
    <w:rsid w:val="7F3004B1"/>
    <w:rsid w:val="7F75710A"/>
    <w:rsid w:val="7FE845FE"/>
    <w:rsid w:val="7FFA407F"/>
    <w:rsid w:val="BF6F85EC"/>
    <w:rsid w:val="BFFD67B5"/>
    <w:rsid w:val="CE2E45E4"/>
    <w:rsid w:val="F9F6ADB3"/>
    <w:rsid w:val="FD442498"/>
    <w:rsid w:val="FE7FF7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1"/>
      <w:lang w:val="en-US" w:eastAsia="zh-CN" w:bidi="ar-SA"/>
    </w:rPr>
  </w:style>
  <w:style w:type="paragraph" w:styleId="2">
    <w:name w:val="heading 1"/>
    <w:basedOn w:val="1"/>
    <w:next w:val="1"/>
    <w:link w:val="68"/>
    <w:qFormat/>
    <w:uiPriority w:val="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69"/>
    <w:qFormat/>
    <w:uiPriority w:val="0"/>
    <w:pPr>
      <w:keepNext/>
      <w:keepLines/>
      <w:numPr>
        <w:ilvl w:val="1"/>
        <w:numId w:val="1"/>
      </w:numPr>
      <w:spacing w:before="260" w:after="260" w:line="416" w:lineRule="auto"/>
      <w:outlineLvl w:val="1"/>
    </w:pPr>
    <w:rPr>
      <w:rFonts w:ascii="Cambria" w:hAnsi="Cambria"/>
      <w:b/>
      <w:bCs/>
      <w:kern w:val="0"/>
      <w:sz w:val="32"/>
      <w:szCs w:val="32"/>
    </w:rPr>
  </w:style>
  <w:style w:type="paragraph" w:styleId="4">
    <w:name w:val="heading 3"/>
    <w:basedOn w:val="1"/>
    <w:next w:val="1"/>
    <w:link w:val="70"/>
    <w:qFormat/>
    <w:uiPriority w:val="0"/>
    <w:pPr>
      <w:keepNext/>
      <w:keepLines/>
      <w:numPr>
        <w:ilvl w:val="2"/>
        <w:numId w:val="1"/>
      </w:numPr>
      <w:spacing w:before="260" w:after="260" w:line="416" w:lineRule="auto"/>
      <w:outlineLvl w:val="2"/>
    </w:pPr>
    <w:rPr>
      <w:b/>
      <w:bCs/>
      <w:kern w:val="0"/>
      <w:sz w:val="32"/>
      <w:szCs w:val="32"/>
    </w:rPr>
  </w:style>
  <w:style w:type="paragraph" w:styleId="5">
    <w:name w:val="heading 4"/>
    <w:basedOn w:val="1"/>
    <w:next w:val="1"/>
    <w:link w:val="71"/>
    <w:qFormat/>
    <w:uiPriority w:val="0"/>
    <w:pPr>
      <w:keepNext/>
      <w:keepLines/>
      <w:numPr>
        <w:ilvl w:val="3"/>
        <w:numId w:val="1"/>
      </w:numPr>
      <w:spacing w:before="280" w:after="290" w:line="376" w:lineRule="auto"/>
      <w:outlineLvl w:val="3"/>
    </w:pPr>
    <w:rPr>
      <w:rFonts w:ascii="Cambria" w:hAnsi="Cambria"/>
      <w:b/>
      <w:bCs/>
      <w:kern w:val="0"/>
      <w:sz w:val="28"/>
      <w:szCs w:val="28"/>
    </w:rPr>
  </w:style>
  <w:style w:type="paragraph" w:styleId="6">
    <w:name w:val="heading 5"/>
    <w:basedOn w:val="1"/>
    <w:next w:val="1"/>
    <w:link w:val="72"/>
    <w:qFormat/>
    <w:uiPriority w:val="0"/>
    <w:pPr>
      <w:keepNext/>
      <w:keepLines/>
      <w:numPr>
        <w:ilvl w:val="4"/>
        <w:numId w:val="1"/>
      </w:numPr>
      <w:spacing w:before="280" w:after="290" w:line="376" w:lineRule="auto"/>
      <w:outlineLvl w:val="4"/>
    </w:pPr>
    <w:rPr>
      <w:b/>
      <w:bCs/>
      <w:kern w:val="0"/>
      <w:sz w:val="28"/>
      <w:szCs w:val="28"/>
    </w:rPr>
  </w:style>
  <w:style w:type="paragraph" w:styleId="7">
    <w:name w:val="heading 6"/>
    <w:basedOn w:val="1"/>
    <w:next w:val="1"/>
    <w:link w:val="73"/>
    <w:qFormat/>
    <w:uiPriority w:val="0"/>
    <w:pPr>
      <w:keepNext/>
      <w:keepLines/>
      <w:numPr>
        <w:ilvl w:val="5"/>
        <w:numId w:val="1"/>
      </w:numPr>
      <w:spacing w:before="240" w:after="64" w:line="320" w:lineRule="auto"/>
      <w:outlineLvl w:val="5"/>
    </w:pPr>
    <w:rPr>
      <w:rFonts w:ascii="Cambria" w:hAnsi="Cambria"/>
      <w:b/>
      <w:bCs/>
      <w:kern w:val="0"/>
      <w:szCs w:val="24"/>
    </w:rPr>
  </w:style>
  <w:style w:type="paragraph" w:styleId="8">
    <w:name w:val="heading 7"/>
    <w:basedOn w:val="1"/>
    <w:next w:val="1"/>
    <w:link w:val="74"/>
    <w:qFormat/>
    <w:uiPriority w:val="0"/>
    <w:pPr>
      <w:keepNext/>
      <w:keepLines/>
      <w:numPr>
        <w:ilvl w:val="6"/>
        <w:numId w:val="1"/>
      </w:numPr>
      <w:spacing w:before="240" w:after="64" w:line="320" w:lineRule="auto"/>
      <w:outlineLvl w:val="6"/>
    </w:pPr>
    <w:rPr>
      <w:b/>
      <w:bCs/>
      <w:kern w:val="0"/>
      <w:szCs w:val="24"/>
    </w:rPr>
  </w:style>
  <w:style w:type="paragraph" w:styleId="9">
    <w:name w:val="heading 8"/>
    <w:basedOn w:val="1"/>
    <w:next w:val="1"/>
    <w:link w:val="75"/>
    <w:qFormat/>
    <w:uiPriority w:val="0"/>
    <w:pPr>
      <w:keepNext/>
      <w:keepLines/>
      <w:numPr>
        <w:ilvl w:val="7"/>
        <w:numId w:val="1"/>
      </w:numPr>
      <w:spacing w:before="240" w:after="64" w:line="320" w:lineRule="auto"/>
      <w:outlineLvl w:val="7"/>
    </w:pPr>
    <w:rPr>
      <w:rFonts w:ascii="Cambria" w:hAnsi="Cambria"/>
      <w:kern w:val="0"/>
      <w:szCs w:val="24"/>
    </w:rPr>
  </w:style>
  <w:style w:type="paragraph" w:styleId="10">
    <w:name w:val="heading 9"/>
    <w:basedOn w:val="1"/>
    <w:next w:val="1"/>
    <w:link w:val="76"/>
    <w:qFormat/>
    <w:uiPriority w:val="0"/>
    <w:pPr>
      <w:keepNext/>
      <w:keepLines/>
      <w:numPr>
        <w:ilvl w:val="8"/>
        <w:numId w:val="1"/>
      </w:numPr>
      <w:spacing w:before="240" w:after="64" w:line="320" w:lineRule="auto"/>
      <w:outlineLvl w:val="8"/>
    </w:pPr>
    <w:rPr>
      <w:rFonts w:ascii="Cambria" w:hAnsi="Cambria"/>
      <w:kern w:val="0"/>
      <w:szCs w:val="20"/>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sz w:val="21"/>
      <w:szCs w:val="20"/>
    </w:rPr>
  </w:style>
  <w:style w:type="paragraph" w:styleId="12">
    <w:name w:val="toc 7"/>
    <w:basedOn w:val="1"/>
    <w:next w:val="1"/>
    <w:unhideWhenUsed/>
    <w:qFormat/>
    <w:uiPriority w:val="0"/>
    <w:pPr>
      <w:ind w:left="2520" w:leftChars="1200"/>
    </w:pPr>
    <w:rPr>
      <w:sz w:val="21"/>
      <w:szCs w:val="22"/>
    </w:rPr>
  </w:style>
  <w:style w:type="paragraph" w:styleId="13">
    <w:name w:val="Normal Indent"/>
    <w:basedOn w:val="1"/>
    <w:qFormat/>
    <w:uiPriority w:val="0"/>
    <w:pPr>
      <w:adjustRightInd w:val="0"/>
      <w:spacing w:line="360" w:lineRule="atLeast"/>
      <w:ind w:firstLine="482"/>
      <w:textAlignment w:val="baseline"/>
    </w:pPr>
    <w:rPr>
      <w:kern w:val="0"/>
      <w:szCs w:val="20"/>
    </w:rPr>
  </w:style>
  <w:style w:type="paragraph" w:styleId="14">
    <w:name w:val="caption"/>
    <w:basedOn w:val="1"/>
    <w:next w:val="1"/>
    <w:qFormat/>
    <w:uiPriority w:val="0"/>
    <w:rPr>
      <w:rFonts w:ascii="Cambria" w:hAnsi="Cambria" w:eastAsia="黑体"/>
      <w:kern w:val="0"/>
      <w:sz w:val="20"/>
      <w:szCs w:val="20"/>
    </w:rPr>
  </w:style>
  <w:style w:type="paragraph" w:styleId="15">
    <w:name w:val="Document Map"/>
    <w:basedOn w:val="1"/>
    <w:link w:val="77"/>
    <w:unhideWhenUsed/>
    <w:qFormat/>
    <w:uiPriority w:val="0"/>
    <w:rPr>
      <w:rFonts w:ascii="宋体"/>
      <w:kern w:val="0"/>
      <w:sz w:val="18"/>
      <w:szCs w:val="18"/>
    </w:rPr>
  </w:style>
  <w:style w:type="paragraph" w:styleId="16">
    <w:name w:val="annotation text"/>
    <w:basedOn w:val="1"/>
    <w:link w:val="64"/>
    <w:unhideWhenUsed/>
    <w:qFormat/>
    <w:uiPriority w:val="0"/>
    <w:pPr>
      <w:jc w:val="left"/>
    </w:pPr>
    <w:rPr>
      <w:kern w:val="0"/>
      <w:szCs w:val="20"/>
    </w:rPr>
  </w:style>
  <w:style w:type="paragraph" w:styleId="17">
    <w:name w:val="Body Text 3"/>
    <w:basedOn w:val="1"/>
    <w:link w:val="78"/>
    <w:qFormat/>
    <w:uiPriority w:val="0"/>
    <w:pPr>
      <w:spacing w:after="120" w:line="360" w:lineRule="auto"/>
      <w:jc w:val="left"/>
    </w:pPr>
    <w:rPr>
      <w:kern w:val="0"/>
      <w:sz w:val="16"/>
      <w:szCs w:val="16"/>
    </w:rPr>
  </w:style>
  <w:style w:type="paragraph" w:styleId="18">
    <w:name w:val="Body Text"/>
    <w:basedOn w:val="1"/>
    <w:next w:val="1"/>
    <w:link w:val="66"/>
    <w:qFormat/>
    <w:uiPriority w:val="0"/>
    <w:pPr>
      <w:widowControl/>
      <w:spacing w:line="320" w:lineRule="atLeast"/>
    </w:pPr>
    <w:rPr>
      <w:rFonts w:eastAsia="隶书"/>
      <w:b/>
      <w:kern w:val="0"/>
      <w:sz w:val="44"/>
      <w:szCs w:val="20"/>
    </w:rPr>
  </w:style>
  <w:style w:type="paragraph" w:styleId="19">
    <w:name w:val="Body Text Indent"/>
    <w:basedOn w:val="1"/>
    <w:next w:val="20"/>
    <w:link w:val="79"/>
    <w:unhideWhenUsed/>
    <w:qFormat/>
    <w:uiPriority w:val="0"/>
    <w:pPr>
      <w:spacing w:after="120"/>
      <w:ind w:left="420" w:leftChars="200"/>
    </w:pPr>
    <w:rPr>
      <w:kern w:val="0"/>
      <w:szCs w:val="20"/>
    </w:rPr>
  </w:style>
  <w:style w:type="paragraph" w:styleId="20">
    <w:name w:val="envelope return"/>
    <w:basedOn w:val="1"/>
    <w:qFormat/>
    <w:uiPriority w:val="0"/>
    <w:pPr>
      <w:snapToGrid w:val="0"/>
    </w:pPr>
    <w:rPr>
      <w:rFonts w:ascii="Arial" w:hAnsi="Arial" w:cs="Arial"/>
      <w:szCs w:val="20"/>
    </w:rPr>
  </w:style>
  <w:style w:type="paragraph" w:styleId="21">
    <w:name w:val="List 2"/>
    <w:basedOn w:val="1"/>
    <w:qFormat/>
    <w:uiPriority w:val="0"/>
    <w:pPr>
      <w:ind w:left="100" w:leftChars="200" w:hanging="200" w:hangingChars="200"/>
    </w:pPr>
    <w:rPr>
      <w:sz w:val="21"/>
      <w:szCs w:val="20"/>
    </w:rPr>
  </w:style>
  <w:style w:type="paragraph" w:styleId="22">
    <w:name w:val="toc 5"/>
    <w:basedOn w:val="1"/>
    <w:next w:val="1"/>
    <w:unhideWhenUsed/>
    <w:qFormat/>
    <w:uiPriority w:val="0"/>
    <w:pPr>
      <w:ind w:left="1680" w:leftChars="800"/>
    </w:pPr>
    <w:rPr>
      <w:sz w:val="21"/>
      <w:szCs w:val="22"/>
    </w:rPr>
  </w:style>
  <w:style w:type="paragraph" w:styleId="23">
    <w:name w:val="toc 3"/>
    <w:basedOn w:val="1"/>
    <w:next w:val="1"/>
    <w:unhideWhenUsed/>
    <w:qFormat/>
    <w:uiPriority w:val="0"/>
    <w:pPr>
      <w:ind w:left="840" w:leftChars="400"/>
    </w:pPr>
  </w:style>
  <w:style w:type="paragraph" w:styleId="24">
    <w:name w:val="Plain Text"/>
    <w:basedOn w:val="1"/>
    <w:link w:val="80"/>
    <w:qFormat/>
    <w:uiPriority w:val="0"/>
    <w:rPr>
      <w:rFonts w:ascii="宋体" w:hAnsi="Courier New"/>
      <w:kern w:val="0"/>
      <w:sz w:val="20"/>
      <w:szCs w:val="20"/>
    </w:rPr>
  </w:style>
  <w:style w:type="paragraph" w:styleId="25">
    <w:name w:val="toc 8"/>
    <w:basedOn w:val="1"/>
    <w:next w:val="1"/>
    <w:unhideWhenUsed/>
    <w:qFormat/>
    <w:uiPriority w:val="0"/>
    <w:pPr>
      <w:ind w:left="2940" w:leftChars="1400"/>
    </w:pPr>
    <w:rPr>
      <w:sz w:val="21"/>
      <w:szCs w:val="22"/>
    </w:rPr>
  </w:style>
  <w:style w:type="paragraph" w:styleId="26">
    <w:name w:val="Date"/>
    <w:basedOn w:val="1"/>
    <w:next w:val="1"/>
    <w:link w:val="81"/>
    <w:qFormat/>
    <w:uiPriority w:val="0"/>
    <w:rPr>
      <w:rFonts w:eastAsia="楷体_GB2312"/>
      <w:kern w:val="0"/>
      <w:sz w:val="30"/>
      <w:szCs w:val="20"/>
    </w:rPr>
  </w:style>
  <w:style w:type="paragraph" w:styleId="27">
    <w:name w:val="Body Text Indent 2"/>
    <w:basedOn w:val="1"/>
    <w:link w:val="82"/>
    <w:qFormat/>
    <w:uiPriority w:val="0"/>
    <w:pPr>
      <w:spacing w:line="450" w:lineRule="exact"/>
      <w:ind w:firstLine="567" w:firstLineChars="270"/>
    </w:pPr>
    <w:rPr>
      <w:kern w:val="0"/>
      <w:sz w:val="20"/>
      <w:szCs w:val="20"/>
    </w:rPr>
  </w:style>
  <w:style w:type="paragraph" w:styleId="28">
    <w:name w:val="Balloon Text"/>
    <w:basedOn w:val="1"/>
    <w:link w:val="83"/>
    <w:unhideWhenUsed/>
    <w:qFormat/>
    <w:uiPriority w:val="99"/>
    <w:rPr>
      <w:kern w:val="0"/>
      <w:sz w:val="18"/>
      <w:szCs w:val="18"/>
    </w:rPr>
  </w:style>
  <w:style w:type="paragraph" w:styleId="29">
    <w:name w:val="footer"/>
    <w:basedOn w:val="1"/>
    <w:link w:val="84"/>
    <w:unhideWhenUsed/>
    <w:qFormat/>
    <w:uiPriority w:val="0"/>
    <w:pPr>
      <w:tabs>
        <w:tab w:val="center" w:pos="4153"/>
        <w:tab w:val="right" w:pos="8306"/>
      </w:tabs>
      <w:snapToGrid w:val="0"/>
      <w:jc w:val="left"/>
    </w:pPr>
    <w:rPr>
      <w:kern w:val="0"/>
      <w:sz w:val="18"/>
      <w:szCs w:val="18"/>
    </w:rPr>
  </w:style>
  <w:style w:type="paragraph" w:styleId="30">
    <w:name w:val="header"/>
    <w:basedOn w:val="1"/>
    <w:link w:val="85"/>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1">
    <w:name w:val="toc 1"/>
    <w:basedOn w:val="1"/>
    <w:next w:val="1"/>
    <w:unhideWhenUsed/>
    <w:qFormat/>
    <w:uiPriority w:val="39"/>
  </w:style>
  <w:style w:type="paragraph" w:styleId="32">
    <w:name w:val="toc 4"/>
    <w:basedOn w:val="1"/>
    <w:next w:val="1"/>
    <w:unhideWhenUsed/>
    <w:qFormat/>
    <w:uiPriority w:val="0"/>
    <w:pPr>
      <w:ind w:left="1260" w:leftChars="600"/>
    </w:pPr>
    <w:rPr>
      <w:sz w:val="21"/>
      <w:szCs w:val="22"/>
    </w:rPr>
  </w:style>
  <w:style w:type="paragraph" w:styleId="33">
    <w:name w:val="List"/>
    <w:basedOn w:val="1"/>
    <w:qFormat/>
    <w:uiPriority w:val="0"/>
    <w:pPr>
      <w:ind w:left="200" w:hanging="200" w:hangingChars="200"/>
    </w:pPr>
    <w:rPr>
      <w:sz w:val="21"/>
      <w:szCs w:val="20"/>
    </w:rPr>
  </w:style>
  <w:style w:type="paragraph" w:styleId="34">
    <w:name w:val="toc 6"/>
    <w:basedOn w:val="1"/>
    <w:next w:val="1"/>
    <w:unhideWhenUsed/>
    <w:qFormat/>
    <w:uiPriority w:val="0"/>
    <w:pPr>
      <w:ind w:left="2100" w:leftChars="1000"/>
    </w:pPr>
    <w:rPr>
      <w:sz w:val="21"/>
      <w:szCs w:val="22"/>
    </w:rPr>
  </w:style>
  <w:style w:type="paragraph" w:styleId="35">
    <w:name w:val="Body Text Indent 3"/>
    <w:basedOn w:val="1"/>
    <w:link w:val="86"/>
    <w:qFormat/>
    <w:uiPriority w:val="0"/>
    <w:pPr>
      <w:adjustRightInd w:val="0"/>
      <w:snapToGrid w:val="0"/>
      <w:spacing w:line="336" w:lineRule="auto"/>
      <w:ind w:firstLine="435"/>
    </w:pPr>
    <w:rPr>
      <w:bCs/>
      <w:kern w:val="0"/>
      <w:sz w:val="20"/>
      <w:szCs w:val="20"/>
    </w:rPr>
  </w:style>
  <w:style w:type="paragraph" w:styleId="36">
    <w:name w:val="toc 2"/>
    <w:basedOn w:val="1"/>
    <w:next w:val="1"/>
    <w:unhideWhenUsed/>
    <w:qFormat/>
    <w:uiPriority w:val="0"/>
    <w:pPr>
      <w:ind w:left="420" w:leftChars="200"/>
    </w:pPr>
  </w:style>
  <w:style w:type="paragraph" w:styleId="37">
    <w:name w:val="toc 9"/>
    <w:basedOn w:val="1"/>
    <w:next w:val="1"/>
    <w:unhideWhenUsed/>
    <w:qFormat/>
    <w:uiPriority w:val="0"/>
    <w:pPr>
      <w:ind w:left="3360" w:leftChars="1600"/>
    </w:pPr>
    <w:rPr>
      <w:sz w:val="21"/>
      <w:szCs w:val="22"/>
    </w:rPr>
  </w:style>
  <w:style w:type="paragraph" w:styleId="38">
    <w:name w:val="Body Text 2"/>
    <w:basedOn w:val="1"/>
    <w:next w:val="39"/>
    <w:unhideWhenUsed/>
    <w:qFormat/>
    <w:uiPriority w:val="99"/>
    <w:pPr>
      <w:spacing w:after="120" w:line="480" w:lineRule="auto"/>
    </w:pPr>
  </w:style>
  <w:style w:type="paragraph" w:styleId="39">
    <w:name w:val="Body Text First Indent 2"/>
    <w:basedOn w:val="19"/>
    <w:next w:val="1"/>
    <w:qFormat/>
    <w:uiPriority w:val="0"/>
    <w:pPr>
      <w:ind w:firstLine="420" w:firstLineChars="200"/>
    </w:pPr>
  </w:style>
  <w:style w:type="paragraph" w:styleId="40">
    <w:name w:val="List 4"/>
    <w:basedOn w:val="1"/>
    <w:qFormat/>
    <w:uiPriority w:val="0"/>
    <w:pPr>
      <w:ind w:left="100" w:leftChars="600" w:hanging="200" w:hangingChars="200"/>
    </w:pPr>
    <w:rPr>
      <w:sz w:val="21"/>
      <w:szCs w:val="20"/>
    </w:rPr>
  </w:style>
  <w:style w:type="paragraph" w:styleId="41">
    <w:name w:val="HTML Preformatted"/>
    <w:basedOn w:val="1"/>
    <w:link w:val="8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Cs w:val="20"/>
    </w:rPr>
  </w:style>
  <w:style w:type="paragraph" w:styleId="42">
    <w:name w:val="Normal (Web)"/>
    <w:basedOn w:val="1"/>
    <w:qFormat/>
    <w:uiPriority w:val="99"/>
    <w:pPr>
      <w:widowControl/>
      <w:spacing w:before="100" w:beforeAutospacing="1" w:after="100" w:afterAutospacing="1"/>
      <w:jc w:val="left"/>
    </w:pPr>
    <w:rPr>
      <w:rFonts w:ascii="宋体" w:hAnsi="宋体" w:cs="宋体"/>
      <w:kern w:val="0"/>
      <w:szCs w:val="24"/>
    </w:rPr>
  </w:style>
  <w:style w:type="paragraph" w:styleId="43">
    <w:name w:val="index 1"/>
    <w:basedOn w:val="1"/>
    <w:next w:val="1"/>
    <w:qFormat/>
    <w:uiPriority w:val="0"/>
    <w:pPr>
      <w:ind w:left="-105" w:leftChars="-50"/>
      <w:jc w:val="center"/>
    </w:pPr>
    <w:rPr>
      <w:spacing w:val="-20"/>
      <w:w w:val="150"/>
      <w:sz w:val="21"/>
      <w:szCs w:val="24"/>
    </w:rPr>
  </w:style>
  <w:style w:type="paragraph" w:styleId="44">
    <w:name w:val="Title"/>
    <w:basedOn w:val="1"/>
    <w:link w:val="88"/>
    <w:qFormat/>
    <w:uiPriority w:val="0"/>
    <w:pPr>
      <w:spacing w:before="240" w:after="60" w:line="360" w:lineRule="auto"/>
      <w:jc w:val="center"/>
      <w:outlineLvl w:val="0"/>
    </w:pPr>
    <w:rPr>
      <w:rFonts w:ascii="Arial" w:hAnsi="Arial"/>
      <w:b/>
      <w:bCs/>
      <w:kern w:val="0"/>
      <w:sz w:val="32"/>
      <w:szCs w:val="32"/>
    </w:rPr>
  </w:style>
  <w:style w:type="paragraph" w:styleId="45">
    <w:name w:val="annotation subject"/>
    <w:basedOn w:val="16"/>
    <w:next w:val="16"/>
    <w:link w:val="89"/>
    <w:unhideWhenUsed/>
    <w:qFormat/>
    <w:uiPriority w:val="0"/>
    <w:rPr>
      <w:b/>
      <w:bCs/>
    </w:rPr>
  </w:style>
  <w:style w:type="paragraph" w:styleId="46">
    <w:name w:val="Body Text First Indent"/>
    <w:basedOn w:val="1"/>
    <w:next w:val="1"/>
    <w:link w:val="67"/>
    <w:qFormat/>
    <w:uiPriority w:val="0"/>
    <w:pPr>
      <w:spacing w:after="120"/>
      <w:ind w:firstLine="420" w:firstLineChars="100"/>
    </w:pPr>
  </w:style>
  <w:style w:type="table" w:styleId="48">
    <w:name w:val="Table Grid"/>
    <w:basedOn w:val="4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0"/>
    <w:rPr>
      <w:b/>
      <w:bCs/>
    </w:rPr>
  </w:style>
  <w:style w:type="character" w:styleId="51">
    <w:name w:val="page number"/>
    <w:basedOn w:val="49"/>
    <w:qFormat/>
    <w:uiPriority w:val="0"/>
  </w:style>
  <w:style w:type="character" w:styleId="52">
    <w:name w:val="FollowedHyperlink"/>
    <w:unhideWhenUsed/>
    <w:qFormat/>
    <w:uiPriority w:val="99"/>
    <w:rPr>
      <w:color w:val="337AB7"/>
      <w:u w:val="none"/>
    </w:rPr>
  </w:style>
  <w:style w:type="character" w:styleId="53">
    <w:name w:val="Emphasis"/>
    <w:basedOn w:val="49"/>
    <w:qFormat/>
    <w:uiPriority w:val="20"/>
  </w:style>
  <w:style w:type="character" w:styleId="54">
    <w:name w:val="HTML Definition"/>
    <w:basedOn w:val="49"/>
    <w:unhideWhenUsed/>
    <w:qFormat/>
    <w:uiPriority w:val="99"/>
  </w:style>
  <w:style w:type="character" w:styleId="55">
    <w:name w:val="HTML Variable"/>
    <w:basedOn w:val="49"/>
    <w:unhideWhenUsed/>
    <w:qFormat/>
    <w:uiPriority w:val="99"/>
  </w:style>
  <w:style w:type="character" w:styleId="56">
    <w:name w:val="Hyperlink"/>
    <w:unhideWhenUsed/>
    <w:qFormat/>
    <w:uiPriority w:val="99"/>
    <w:rPr>
      <w:color w:val="337AB7"/>
      <w:u w:val="none"/>
    </w:rPr>
  </w:style>
  <w:style w:type="character" w:styleId="57">
    <w:name w:val="HTML Code"/>
    <w:unhideWhenUsed/>
    <w:qFormat/>
    <w:uiPriority w:val="99"/>
    <w:rPr>
      <w:rFonts w:ascii="Consolas" w:hAnsi="Consolas" w:eastAsia="Consolas" w:cs="Consolas"/>
      <w:color w:val="C7254E"/>
      <w:sz w:val="21"/>
      <w:szCs w:val="21"/>
      <w:shd w:val="clear" w:color="auto" w:fill="F9F2F4"/>
    </w:rPr>
  </w:style>
  <w:style w:type="character" w:styleId="58">
    <w:name w:val="annotation reference"/>
    <w:unhideWhenUsed/>
    <w:qFormat/>
    <w:uiPriority w:val="0"/>
    <w:rPr>
      <w:sz w:val="21"/>
      <w:szCs w:val="21"/>
    </w:rPr>
  </w:style>
  <w:style w:type="character" w:styleId="59">
    <w:name w:val="HTML Cite"/>
    <w:basedOn w:val="49"/>
    <w:unhideWhenUsed/>
    <w:qFormat/>
    <w:uiPriority w:val="99"/>
  </w:style>
  <w:style w:type="character" w:styleId="60">
    <w:name w:val="HTML Keyboard"/>
    <w:unhideWhenUsed/>
    <w:qFormat/>
    <w:uiPriority w:val="99"/>
    <w:rPr>
      <w:rFonts w:hint="default" w:ascii="Consolas" w:hAnsi="Consolas" w:eastAsia="Consolas" w:cs="Consolas"/>
      <w:color w:val="FFFFFF"/>
      <w:sz w:val="21"/>
      <w:szCs w:val="21"/>
      <w:shd w:val="clear" w:color="auto" w:fill="333333"/>
    </w:rPr>
  </w:style>
  <w:style w:type="character" w:styleId="61">
    <w:name w:val="HTML Sample"/>
    <w:unhideWhenUsed/>
    <w:qFormat/>
    <w:uiPriority w:val="99"/>
    <w:rPr>
      <w:rFonts w:hint="default" w:ascii="Consolas" w:hAnsi="Consolas" w:eastAsia="Consolas" w:cs="Consolas"/>
      <w:sz w:val="21"/>
      <w:szCs w:val="21"/>
    </w:rPr>
  </w:style>
  <w:style w:type="paragraph" w:customStyle="1" w:styleId="62">
    <w:name w:val="正文1"/>
    <w:basedOn w:val="15"/>
    <w:next w:val="1"/>
    <w:qFormat/>
    <w:uiPriority w:val="0"/>
    <w:pPr>
      <w:tabs>
        <w:tab w:val="left" w:pos="1290"/>
      </w:tabs>
      <w:ind w:left="1290" w:hanging="420"/>
      <w:jc w:val="left"/>
    </w:pPr>
    <w:rPr>
      <w:szCs w:val="24"/>
    </w:rPr>
  </w:style>
  <w:style w:type="paragraph" w:customStyle="1" w:styleId="63">
    <w:name w:val="本文正文"/>
    <w:basedOn w:val="1"/>
    <w:link w:val="104"/>
    <w:qFormat/>
    <w:uiPriority w:val="0"/>
    <w:pPr>
      <w:spacing w:line="360" w:lineRule="auto"/>
    </w:pPr>
    <w:rPr>
      <w:rFonts w:ascii="仿宋" w:hAnsi="仿宋" w:eastAsia="仿宋"/>
      <w:kern w:val="0"/>
      <w:sz w:val="28"/>
      <w:szCs w:val="28"/>
    </w:rPr>
  </w:style>
  <w:style w:type="character" w:customStyle="1" w:styleId="64">
    <w:name w:val="批注文字 字符"/>
    <w:link w:val="16"/>
    <w:qFormat/>
    <w:uiPriority w:val="0"/>
    <w:rPr>
      <w:sz w:val="24"/>
    </w:rPr>
  </w:style>
  <w:style w:type="paragraph" w:customStyle="1" w:styleId="65">
    <w:name w:val="xl28"/>
    <w:basedOn w:val="1"/>
    <w:next w:val="14"/>
    <w:qFormat/>
    <w:uiPriority w:val="0"/>
    <w:pPr>
      <w:widowControl/>
      <w:spacing w:before="280" w:after="280"/>
      <w:jc w:val="center"/>
    </w:pPr>
    <w:rPr>
      <w:rFonts w:eastAsia="??"/>
      <w:color w:val="000000"/>
    </w:rPr>
  </w:style>
  <w:style w:type="character" w:customStyle="1" w:styleId="66">
    <w:name w:val="正文文本 字符"/>
    <w:link w:val="18"/>
    <w:qFormat/>
    <w:uiPriority w:val="0"/>
    <w:rPr>
      <w:rFonts w:ascii="Times New Roman" w:hAnsi="Times New Roman" w:eastAsia="隶书" w:cs="Times New Roman"/>
      <w:b/>
      <w:kern w:val="0"/>
      <w:sz w:val="44"/>
      <w:szCs w:val="20"/>
    </w:rPr>
  </w:style>
  <w:style w:type="character" w:customStyle="1" w:styleId="67">
    <w:name w:val="正文文本首行缩进 字符"/>
    <w:link w:val="46"/>
    <w:qFormat/>
    <w:uiPriority w:val="0"/>
    <w:rPr>
      <w:rFonts w:ascii="Times New Roman" w:hAnsi="Times New Roman" w:eastAsia="宋体" w:cs="Times New Roman"/>
      <w:kern w:val="0"/>
      <w:sz w:val="44"/>
      <w:szCs w:val="20"/>
    </w:rPr>
  </w:style>
  <w:style w:type="character" w:customStyle="1" w:styleId="68">
    <w:name w:val="标题 1 字符"/>
    <w:link w:val="2"/>
    <w:qFormat/>
    <w:uiPriority w:val="9"/>
    <w:rPr>
      <w:b/>
      <w:bCs/>
      <w:kern w:val="44"/>
      <w:sz w:val="44"/>
      <w:szCs w:val="44"/>
    </w:rPr>
  </w:style>
  <w:style w:type="character" w:customStyle="1" w:styleId="69">
    <w:name w:val="标题 2 字符"/>
    <w:link w:val="3"/>
    <w:qFormat/>
    <w:uiPriority w:val="0"/>
    <w:rPr>
      <w:rFonts w:ascii="Cambria" w:hAnsi="Cambria" w:eastAsia="宋体" w:cs="Times New Roman"/>
      <w:b/>
      <w:bCs/>
      <w:sz w:val="32"/>
      <w:szCs w:val="32"/>
    </w:rPr>
  </w:style>
  <w:style w:type="character" w:customStyle="1" w:styleId="70">
    <w:name w:val="标题 3 字符"/>
    <w:link w:val="4"/>
    <w:qFormat/>
    <w:uiPriority w:val="0"/>
    <w:rPr>
      <w:b/>
      <w:bCs/>
      <w:sz w:val="32"/>
      <w:szCs w:val="32"/>
    </w:rPr>
  </w:style>
  <w:style w:type="character" w:customStyle="1" w:styleId="71">
    <w:name w:val="标题 4 字符"/>
    <w:link w:val="5"/>
    <w:qFormat/>
    <w:uiPriority w:val="0"/>
    <w:rPr>
      <w:rFonts w:ascii="Cambria" w:hAnsi="Cambria" w:eastAsia="宋体" w:cs="Times New Roman"/>
      <w:b/>
      <w:bCs/>
      <w:sz w:val="28"/>
      <w:szCs w:val="28"/>
    </w:rPr>
  </w:style>
  <w:style w:type="character" w:customStyle="1" w:styleId="72">
    <w:name w:val="标题 5 字符"/>
    <w:link w:val="6"/>
    <w:qFormat/>
    <w:uiPriority w:val="0"/>
    <w:rPr>
      <w:b/>
      <w:bCs/>
      <w:sz w:val="28"/>
      <w:szCs w:val="28"/>
    </w:rPr>
  </w:style>
  <w:style w:type="character" w:customStyle="1" w:styleId="73">
    <w:name w:val="标题 6 字符"/>
    <w:link w:val="7"/>
    <w:qFormat/>
    <w:uiPriority w:val="0"/>
    <w:rPr>
      <w:rFonts w:ascii="Cambria" w:hAnsi="Cambria" w:eastAsia="宋体" w:cs="Times New Roman"/>
      <w:b/>
      <w:bCs/>
      <w:sz w:val="24"/>
      <w:szCs w:val="24"/>
    </w:rPr>
  </w:style>
  <w:style w:type="character" w:customStyle="1" w:styleId="74">
    <w:name w:val="标题 7 字符"/>
    <w:link w:val="8"/>
    <w:qFormat/>
    <w:uiPriority w:val="0"/>
    <w:rPr>
      <w:b/>
      <w:bCs/>
      <w:sz w:val="24"/>
      <w:szCs w:val="24"/>
    </w:rPr>
  </w:style>
  <w:style w:type="character" w:customStyle="1" w:styleId="75">
    <w:name w:val="标题 8 字符"/>
    <w:link w:val="9"/>
    <w:qFormat/>
    <w:uiPriority w:val="0"/>
    <w:rPr>
      <w:rFonts w:ascii="Cambria" w:hAnsi="Cambria" w:eastAsia="宋体" w:cs="Times New Roman"/>
      <w:sz w:val="24"/>
      <w:szCs w:val="24"/>
    </w:rPr>
  </w:style>
  <w:style w:type="character" w:customStyle="1" w:styleId="76">
    <w:name w:val="标题 9 字符"/>
    <w:link w:val="10"/>
    <w:qFormat/>
    <w:uiPriority w:val="0"/>
    <w:rPr>
      <w:rFonts w:ascii="Cambria" w:hAnsi="Cambria" w:eastAsia="宋体" w:cs="Times New Roman"/>
      <w:sz w:val="24"/>
    </w:rPr>
  </w:style>
  <w:style w:type="character" w:customStyle="1" w:styleId="77">
    <w:name w:val="文档结构图 字符"/>
    <w:link w:val="15"/>
    <w:qFormat/>
    <w:uiPriority w:val="0"/>
    <w:rPr>
      <w:rFonts w:ascii="宋体"/>
      <w:sz w:val="18"/>
      <w:szCs w:val="18"/>
    </w:rPr>
  </w:style>
  <w:style w:type="character" w:customStyle="1" w:styleId="78">
    <w:name w:val="正文文本 3 字符"/>
    <w:link w:val="17"/>
    <w:qFormat/>
    <w:uiPriority w:val="0"/>
    <w:rPr>
      <w:sz w:val="16"/>
      <w:szCs w:val="16"/>
    </w:rPr>
  </w:style>
  <w:style w:type="character" w:customStyle="1" w:styleId="79">
    <w:name w:val="正文文本缩进 字符"/>
    <w:link w:val="19"/>
    <w:qFormat/>
    <w:uiPriority w:val="0"/>
    <w:rPr>
      <w:sz w:val="24"/>
    </w:rPr>
  </w:style>
  <w:style w:type="character" w:customStyle="1" w:styleId="80">
    <w:name w:val="纯文本 字符"/>
    <w:link w:val="24"/>
    <w:qFormat/>
    <w:uiPriority w:val="0"/>
    <w:rPr>
      <w:rFonts w:ascii="宋体" w:hAnsi="Courier New"/>
    </w:rPr>
  </w:style>
  <w:style w:type="character" w:customStyle="1" w:styleId="81">
    <w:name w:val="日期 字符"/>
    <w:link w:val="26"/>
    <w:qFormat/>
    <w:uiPriority w:val="0"/>
    <w:rPr>
      <w:rFonts w:ascii="Times New Roman" w:hAnsi="Times New Roman" w:eastAsia="楷体_GB2312" w:cs="Times New Roman"/>
      <w:sz w:val="30"/>
      <w:szCs w:val="20"/>
    </w:rPr>
  </w:style>
  <w:style w:type="character" w:customStyle="1" w:styleId="82">
    <w:name w:val="正文文本缩进 2 字符"/>
    <w:link w:val="27"/>
    <w:qFormat/>
    <w:uiPriority w:val="0"/>
    <w:rPr>
      <w:rFonts w:ascii="Times New Roman" w:hAnsi="Times New Roman" w:eastAsia="宋体" w:cs="Times New Roman"/>
      <w:szCs w:val="20"/>
    </w:rPr>
  </w:style>
  <w:style w:type="character" w:customStyle="1" w:styleId="83">
    <w:name w:val="批注框文本 字符"/>
    <w:link w:val="28"/>
    <w:semiHidden/>
    <w:qFormat/>
    <w:uiPriority w:val="99"/>
    <w:rPr>
      <w:sz w:val="18"/>
      <w:szCs w:val="18"/>
    </w:rPr>
  </w:style>
  <w:style w:type="character" w:customStyle="1" w:styleId="84">
    <w:name w:val="页脚 字符"/>
    <w:link w:val="29"/>
    <w:qFormat/>
    <w:uiPriority w:val="0"/>
    <w:rPr>
      <w:sz w:val="18"/>
      <w:szCs w:val="18"/>
    </w:rPr>
  </w:style>
  <w:style w:type="character" w:customStyle="1" w:styleId="85">
    <w:name w:val="页眉 字符"/>
    <w:link w:val="30"/>
    <w:qFormat/>
    <w:uiPriority w:val="99"/>
    <w:rPr>
      <w:sz w:val="18"/>
      <w:szCs w:val="18"/>
    </w:rPr>
  </w:style>
  <w:style w:type="character" w:customStyle="1" w:styleId="86">
    <w:name w:val="正文文本缩进 3 字符"/>
    <w:link w:val="35"/>
    <w:qFormat/>
    <w:uiPriority w:val="0"/>
    <w:rPr>
      <w:rFonts w:ascii="Times New Roman" w:hAnsi="Times New Roman" w:eastAsia="宋体" w:cs="Times New Roman"/>
      <w:bCs/>
      <w:szCs w:val="20"/>
    </w:rPr>
  </w:style>
  <w:style w:type="character" w:customStyle="1" w:styleId="87">
    <w:name w:val="HTML 预设格式 字符"/>
    <w:link w:val="41"/>
    <w:qFormat/>
    <w:uiPriority w:val="0"/>
    <w:rPr>
      <w:rFonts w:ascii="宋体" w:hAnsi="宋体"/>
      <w:sz w:val="24"/>
    </w:rPr>
  </w:style>
  <w:style w:type="character" w:customStyle="1" w:styleId="88">
    <w:name w:val="标题 字符"/>
    <w:link w:val="44"/>
    <w:qFormat/>
    <w:uiPriority w:val="0"/>
    <w:rPr>
      <w:rFonts w:ascii="Arial" w:hAnsi="Arial" w:cs="Arial"/>
      <w:b/>
      <w:bCs/>
      <w:sz w:val="32"/>
      <w:szCs w:val="32"/>
    </w:rPr>
  </w:style>
  <w:style w:type="character" w:customStyle="1" w:styleId="89">
    <w:name w:val="批注主题 字符"/>
    <w:link w:val="45"/>
    <w:qFormat/>
    <w:uiPriority w:val="0"/>
    <w:rPr>
      <w:b/>
      <w:bCs/>
      <w:sz w:val="24"/>
    </w:rPr>
  </w:style>
  <w:style w:type="character" w:customStyle="1" w:styleId="90">
    <w:name w:val="列表段落 字符"/>
    <w:link w:val="91"/>
    <w:qFormat/>
    <w:uiPriority w:val="34"/>
    <w:rPr>
      <w:sz w:val="24"/>
    </w:rPr>
  </w:style>
  <w:style w:type="paragraph" w:customStyle="1" w:styleId="91">
    <w:name w:val="列表段落1"/>
    <w:basedOn w:val="1"/>
    <w:link w:val="90"/>
    <w:qFormat/>
    <w:uiPriority w:val="34"/>
    <w:pPr>
      <w:ind w:firstLine="420" w:firstLineChars="200"/>
    </w:pPr>
    <w:rPr>
      <w:kern w:val="0"/>
      <w:szCs w:val="20"/>
    </w:rPr>
  </w:style>
  <w:style w:type="character" w:customStyle="1" w:styleId="92">
    <w:name w:val="样式 标题 4 + 行距: 固定值 20 磅 Char"/>
    <w:link w:val="93"/>
    <w:qFormat/>
    <w:uiPriority w:val="0"/>
    <w:rPr>
      <w:rFonts w:ascii="Arial" w:hAnsi="Arial"/>
      <w:b/>
      <w:bCs/>
      <w:color w:val="000000"/>
      <w:szCs w:val="28"/>
    </w:rPr>
  </w:style>
  <w:style w:type="paragraph" w:customStyle="1" w:styleId="93">
    <w:name w:val="样式 标题 4 + 行距: 固定值 20 磅"/>
    <w:basedOn w:val="5"/>
    <w:link w:val="92"/>
    <w:qFormat/>
    <w:uiPriority w:val="0"/>
    <w:pPr>
      <w:numPr>
        <w:ilvl w:val="0"/>
        <w:numId w:val="0"/>
      </w:numPr>
      <w:tabs>
        <w:tab w:val="left" w:pos="1814"/>
        <w:tab w:val="left" w:pos="2940"/>
      </w:tabs>
      <w:spacing w:before="0" w:after="0" w:line="400" w:lineRule="exact"/>
      <w:ind w:left="420" w:hanging="420"/>
    </w:pPr>
    <w:rPr>
      <w:rFonts w:ascii="Arial" w:hAnsi="Arial"/>
      <w:color w:val="000000"/>
      <w:sz w:val="20"/>
    </w:rPr>
  </w:style>
  <w:style w:type="character" w:customStyle="1" w:styleId="94">
    <w:name w:val="hour_pm"/>
    <w:basedOn w:val="49"/>
    <w:qFormat/>
    <w:uiPriority w:val="0"/>
  </w:style>
  <w:style w:type="character" w:customStyle="1" w:styleId="95">
    <w:name w:val="x-tab-strip-text2"/>
    <w:basedOn w:val="49"/>
    <w:qFormat/>
    <w:uiPriority w:val="0"/>
  </w:style>
  <w:style w:type="character" w:customStyle="1" w:styleId="96">
    <w:name w:val="mainbody1"/>
    <w:qFormat/>
    <w:uiPriority w:val="0"/>
    <w:rPr>
      <w:rFonts w:hint="default" w:ascii="Arial" w:hAnsi="Arial" w:cs="Arial"/>
      <w:color w:val="000000"/>
      <w:sz w:val="20"/>
      <w:szCs w:val="20"/>
    </w:rPr>
  </w:style>
  <w:style w:type="character" w:customStyle="1" w:styleId="97">
    <w:name w:val="font81"/>
    <w:qFormat/>
    <w:uiPriority w:val="0"/>
    <w:rPr>
      <w:rFonts w:hint="eastAsia" w:ascii="宋体" w:hAnsi="宋体" w:eastAsia="宋体" w:cs="宋体"/>
      <w:color w:val="000000"/>
      <w:sz w:val="21"/>
      <w:szCs w:val="21"/>
      <w:u w:val="none"/>
    </w:rPr>
  </w:style>
  <w:style w:type="character" w:customStyle="1" w:styleId="98">
    <w:name w:val="font31"/>
    <w:qFormat/>
    <w:uiPriority w:val="0"/>
    <w:rPr>
      <w:rFonts w:hint="eastAsia" w:ascii="宋体" w:hAnsi="宋体" w:eastAsia="宋体" w:cs="宋体"/>
      <w:color w:val="000000"/>
      <w:sz w:val="24"/>
      <w:szCs w:val="24"/>
      <w:u w:val="none"/>
    </w:rPr>
  </w:style>
  <w:style w:type="character" w:customStyle="1" w:styleId="99">
    <w:name w:val="x-tab-strip-text"/>
    <w:qFormat/>
    <w:uiPriority w:val="0"/>
    <w:rPr>
      <w:rFonts w:ascii="Tahoma" w:hAnsi="Tahoma" w:eastAsia="Tahoma" w:cs="Tahoma"/>
      <w:color w:val="416AA3"/>
      <w:sz w:val="16"/>
      <w:szCs w:val="16"/>
    </w:rPr>
  </w:style>
  <w:style w:type="character" w:customStyle="1" w:styleId="100">
    <w:name w:val="glyphicon6"/>
    <w:basedOn w:val="49"/>
    <w:qFormat/>
    <w:uiPriority w:val="0"/>
  </w:style>
  <w:style w:type="character" w:customStyle="1" w:styleId="101">
    <w:name w:val="正文文本 3 Char1"/>
    <w:semiHidden/>
    <w:qFormat/>
    <w:uiPriority w:val="99"/>
    <w:rPr>
      <w:sz w:val="16"/>
      <w:szCs w:val="16"/>
    </w:rPr>
  </w:style>
  <w:style w:type="character" w:customStyle="1" w:styleId="102">
    <w:name w:val="访问过的超链接1"/>
    <w:unhideWhenUsed/>
    <w:qFormat/>
    <w:uiPriority w:val="99"/>
    <w:rPr>
      <w:color w:val="337AB7"/>
      <w:u w:val="none"/>
    </w:rPr>
  </w:style>
  <w:style w:type="character" w:customStyle="1" w:styleId="103">
    <w:name w:val="hover35"/>
    <w:qFormat/>
    <w:uiPriority w:val="0"/>
    <w:rPr>
      <w:shd w:val="clear" w:color="auto" w:fill="DEECFD"/>
    </w:rPr>
  </w:style>
  <w:style w:type="character" w:customStyle="1" w:styleId="104">
    <w:name w:val="本文正文 Char"/>
    <w:link w:val="63"/>
    <w:qFormat/>
    <w:uiPriority w:val="0"/>
    <w:rPr>
      <w:rFonts w:ascii="仿宋" w:hAnsi="仿宋" w:eastAsia="仿宋"/>
      <w:sz w:val="28"/>
      <w:szCs w:val="28"/>
    </w:rPr>
  </w:style>
  <w:style w:type="character" w:customStyle="1" w:styleId="105">
    <w:name w:val="方案文档 Char"/>
    <w:link w:val="106"/>
    <w:qFormat/>
    <w:locked/>
    <w:uiPriority w:val="0"/>
    <w:rPr>
      <w:kern w:val="2"/>
      <w:sz w:val="24"/>
      <w:szCs w:val="24"/>
      <w:lang w:val="en-US" w:eastAsia="zh-CN" w:bidi="ar-SA"/>
    </w:rPr>
  </w:style>
  <w:style w:type="paragraph" w:customStyle="1" w:styleId="106">
    <w:name w:val="方案文档"/>
    <w:link w:val="105"/>
    <w:qFormat/>
    <w:uiPriority w:val="0"/>
    <w:pPr>
      <w:spacing w:beforeLines="50" w:afterLines="50" w:line="360" w:lineRule="auto"/>
      <w:ind w:firstLine="200" w:firstLineChars="200"/>
    </w:pPr>
    <w:rPr>
      <w:rFonts w:ascii="Times New Roman" w:hAnsi="Times New Roman" w:eastAsia="宋体" w:cs="Times New Roman"/>
      <w:kern w:val="2"/>
      <w:sz w:val="24"/>
      <w:szCs w:val="24"/>
      <w:lang w:val="en-US" w:eastAsia="zh-CN" w:bidi="ar-SA"/>
    </w:rPr>
  </w:style>
  <w:style w:type="character" w:customStyle="1" w:styleId="107">
    <w:name w:val="old"/>
    <w:qFormat/>
    <w:uiPriority w:val="0"/>
    <w:rPr>
      <w:color w:val="999999"/>
    </w:rPr>
  </w:style>
  <w:style w:type="character" w:customStyle="1" w:styleId="108">
    <w:name w:val="f14b1"/>
    <w:qFormat/>
    <w:uiPriority w:val="0"/>
    <w:rPr>
      <w:b/>
      <w:bCs/>
      <w:sz w:val="23"/>
      <w:szCs w:val="23"/>
    </w:rPr>
  </w:style>
  <w:style w:type="character" w:customStyle="1" w:styleId="109">
    <w:name w:val="文档结构图 Char1"/>
    <w:semiHidden/>
    <w:qFormat/>
    <w:uiPriority w:val="99"/>
    <w:rPr>
      <w:rFonts w:ascii="宋体" w:eastAsia="宋体"/>
      <w:sz w:val="18"/>
      <w:szCs w:val="18"/>
    </w:rPr>
  </w:style>
  <w:style w:type="character" w:customStyle="1" w:styleId="110">
    <w:name w:val="x-tab-strip-text4"/>
    <w:basedOn w:val="49"/>
    <w:qFormat/>
    <w:uiPriority w:val="0"/>
  </w:style>
  <w:style w:type="character" w:customStyle="1" w:styleId="111">
    <w:name w:val="标题 Char1"/>
    <w:qFormat/>
    <w:uiPriority w:val="10"/>
    <w:rPr>
      <w:rFonts w:ascii="Cambria" w:hAnsi="Cambria" w:eastAsia="宋体" w:cs="Times New Roman"/>
      <w:b/>
      <w:bCs/>
      <w:sz w:val="32"/>
      <w:szCs w:val="32"/>
    </w:rPr>
  </w:style>
  <w:style w:type="character" w:customStyle="1" w:styleId="112">
    <w:name w:val="font01"/>
    <w:qFormat/>
    <w:uiPriority w:val="0"/>
    <w:rPr>
      <w:rFonts w:hint="eastAsia" w:ascii="华文细黑" w:hAnsi="华文细黑" w:eastAsia="华文细黑" w:cs="华文细黑"/>
      <w:color w:val="000000"/>
      <w:sz w:val="17"/>
      <w:szCs w:val="17"/>
      <w:u w:val="none"/>
    </w:rPr>
  </w:style>
  <w:style w:type="character" w:customStyle="1" w:styleId="113">
    <w:name w:val="HTML 预设格式 Char1"/>
    <w:semiHidden/>
    <w:qFormat/>
    <w:uiPriority w:val="99"/>
    <w:rPr>
      <w:rFonts w:ascii="Courier New" w:hAnsi="Courier New" w:cs="Courier New"/>
      <w:sz w:val="20"/>
      <w:szCs w:val="20"/>
    </w:rPr>
  </w:style>
  <w:style w:type="character" w:customStyle="1" w:styleId="114">
    <w:name w:val="x-tab-strip-text3"/>
    <w:qFormat/>
    <w:uiPriority w:val="0"/>
    <w:rPr>
      <w:b/>
      <w:color w:val="15428B"/>
    </w:rPr>
  </w:style>
  <w:style w:type="character" w:customStyle="1" w:styleId="115">
    <w:name w:val="apple-converted-space"/>
    <w:basedOn w:val="49"/>
    <w:qFormat/>
    <w:uiPriority w:val="0"/>
  </w:style>
  <w:style w:type="character" w:customStyle="1" w:styleId="116">
    <w:name w:val="x-tab-strip-text1"/>
    <w:basedOn w:val="49"/>
    <w:qFormat/>
    <w:uiPriority w:val="0"/>
  </w:style>
  <w:style w:type="character" w:customStyle="1" w:styleId="117">
    <w:name w:val="纯文本 Char2"/>
    <w:semiHidden/>
    <w:qFormat/>
    <w:uiPriority w:val="99"/>
    <w:rPr>
      <w:rFonts w:ascii="宋体" w:hAnsi="Courier New" w:eastAsia="宋体" w:cs="Courier New"/>
    </w:rPr>
  </w:style>
  <w:style w:type="character" w:customStyle="1" w:styleId="118">
    <w:name w:val="纯文本 Char1"/>
    <w:qFormat/>
    <w:uiPriority w:val="0"/>
    <w:rPr>
      <w:rFonts w:ascii="宋体" w:hAnsi="Courier New" w:eastAsia="宋体"/>
      <w:kern w:val="2"/>
      <w:sz w:val="21"/>
      <w:lang w:val="en-US" w:eastAsia="zh-CN" w:bidi="ar-SA"/>
    </w:rPr>
  </w:style>
  <w:style w:type="character" w:customStyle="1" w:styleId="119">
    <w:name w:val="hour_am"/>
    <w:basedOn w:val="49"/>
    <w:qFormat/>
    <w:uiPriority w:val="0"/>
  </w:style>
  <w:style w:type="character" w:customStyle="1" w:styleId="120">
    <w:name w:val="hover1"/>
    <w:qFormat/>
    <w:uiPriority w:val="0"/>
    <w:rPr>
      <w:shd w:val="clear" w:color="auto" w:fill="EEEEEE"/>
    </w:rPr>
  </w:style>
  <w:style w:type="character" w:customStyle="1" w:styleId="121">
    <w:name w:val="font51"/>
    <w:qFormat/>
    <w:uiPriority w:val="0"/>
    <w:rPr>
      <w:rFonts w:hint="eastAsia" w:ascii="华文细黑" w:hAnsi="华文细黑" w:eastAsia="华文细黑" w:cs="华文细黑"/>
      <w:color w:val="000000"/>
      <w:sz w:val="20"/>
      <w:szCs w:val="20"/>
      <w:u w:val="none"/>
    </w:rPr>
  </w:style>
  <w:style w:type="character" w:customStyle="1" w:styleId="122">
    <w:name w:val="x-tab-strip-text5"/>
    <w:qFormat/>
    <w:uiPriority w:val="0"/>
    <w:rPr>
      <w:color w:val="15428B"/>
    </w:rPr>
  </w:style>
  <w:style w:type="paragraph" w:customStyle="1" w:styleId="123">
    <w:name w:val="列出段落1"/>
    <w:basedOn w:val="1"/>
    <w:qFormat/>
    <w:uiPriority w:val="0"/>
    <w:pPr>
      <w:ind w:firstLine="420" w:firstLineChars="200"/>
    </w:pPr>
    <w:rPr>
      <w:rFonts w:eastAsia="楷体_GB2312"/>
      <w:sz w:val="30"/>
      <w:szCs w:val="20"/>
    </w:rPr>
  </w:style>
  <w:style w:type="paragraph" w:customStyle="1" w:styleId="124">
    <w:name w:val="title2"/>
    <w:qFormat/>
    <w:uiPriority w:val="0"/>
    <w:pPr>
      <w:numPr>
        <w:ilvl w:val="0"/>
        <w:numId w:val="2"/>
      </w:numPr>
      <w:spacing w:line="360" w:lineRule="auto"/>
      <w:outlineLvl w:val="1"/>
    </w:pPr>
    <w:rPr>
      <w:rFonts w:ascii="楷体_GB2312" w:hAnsi="宋体" w:eastAsia="楷体_GB2312" w:cs="Times New Roman"/>
      <w:b/>
      <w:color w:val="000000"/>
      <w:kern w:val="2"/>
      <w:sz w:val="24"/>
      <w:szCs w:val="24"/>
      <w:lang w:val="en-US" w:eastAsia="zh-CN" w:bidi="ar-SA"/>
    </w:rPr>
  </w:style>
  <w:style w:type="paragraph" w:customStyle="1" w:styleId="125">
    <w:name w:val="TOC 标题2"/>
    <w:basedOn w:val="2"/>
    <w:next w:val="1"/>
    <w:qFormat/>
    <w:uiPriority w:val="39"/>
    <w:pPr>
      <w:widowControl/>
      <w:numPr>
        <w:numId w:val="0"/>
      </w:numPr>
      <w:spacing w:before="240" w:after="0" w:line="259" w:lineRule="auto"/>
      <w:jc w:val="left"/>
      <w:outlineLvl w:val="9"/>
    </w:pPr>
    <w:rPr>
      <w:rFonts w:ascii="Cambria" w:hAnsi="Cambria"/>
      <w:b w:val="0"/>
      <w:bCs w:val="0"/>
      <w:color w:val="365F91"/>
      <w:kern w:val="0"/>
      <w:sz w:val="32"/>
      <w:szCs w:val="32"/>
    </w:rPr>
  </w:style>
  <w:style w:type="paragraph" w:customStyle="1" w:styleId="126">
    <w:name w:val="WPSOffice手动目录 1"/>
    <w:qFormat/>
    <w:uiPriority w:val="0"/>
    <w:rPr>
      <w:rFonts w:ascii="Times New Roman" w:hAnsi="Times New Roman" w:eastAsia="宋体" w:cs="Times New Roman"/>
      <w:lang w:val="en-US" w:eastAsia="zh-CN" w:bidi="ar-SA"/>
    </w:rPr>
  </w:style>
  <w:style w:type="paragraph" w:customStyle="1" w:styleId="127">
    <w:name w:val="1"/>
    <w:basedOn w:val="1"/>
    <w:next w:val="24"/>
    <w:qFormat/>
    <w:uiPriority w:val="0"/>
    <w:rPr>
      <w:rFonts w:ascii="宋体" w:hAnsi="Courier New"/>
      <w:sz w:val="21"/>
    </w:rPr>
  </w:style>
  <w:style w:type="paragraph" w:customStyle="1" w:styleId="128">
    <w:name w:val="注"/>
    <w:basedOn w:val="1"/>
    <w:qFormat/>
    <w:uiPriority w:val="0"/>
    <w:pPr>
      <w:adjustRightInd w:val="0"/>
      <w:spacing w:line="360" w:lineRule="atLeast"/>
      <w:ind w:left="840" w:hanging="420"/>
      <w:textAlignment w:val="baseline"/>
    </w:pPr>
    <w:rPr>
      <w:kern w:val="0"/>
      <w:sz w:val="21"/>
      <w:szCs w:val="20"/>
    </w:rPr>
  </w:style>
  <w:style w:type="paragraph" w:customStyle="1" w:styleId="129">
    <w:name w:val="_Style 122"/>
    <w:basedOn w:val="1"/>
    <w:qFormat/>
    <w:uiPriority w:val="0"/>
    <w:pPr>
      <w:spacing w:line="360" w:lineRule="auto"/>
      <w:ind w:firstLine="420" w:firstLineChars="200"/>
    </w:pPr>
    <w:rPr>
      <w:szCs w:val="20"/>
    </w:rPr>
  </w:style>
  <w:style w:type="paragraph" w:customStyle="1" w:styleId="130">
    <w:name w:val="列出段落11"/>
    <w:basedOn w:val="1"/>
    <w:qFormat/>
    <w:uiPriority w:val="0"/>
    <w:pPr>
      <w:ind w:firstLine="420" w:firstLineChars="200"/>
    </w:pPr>
    <w:rPr>
      <w:sz w:val="21"/>
      <w:szCs w:val="22"/>
    </w:rPr>
  </w:style>
  <w:style w:type="paragraph" w:customStyle="1" w:styleId="131">
    <w:name w:val="Char1"/>
    <w:basedOn w:val="1"/>
    <w:qFormat/>
    <w:uiPriority w:val="0"/>
    <w:rPr>
      <w:rFonts w:ascii="Tahoma" w:hAnsi="Tahoma"/>
      <w:szCs w:val="20"/>
    </w:rPr>
  </w:style>
  <w:style w:type="paragraph" w:customStyle="1" w:styleId="132">
    <w:name w:val="样式 标题 3 + 小四 非加粗 段前: 0 磅 段后: 0 磅 行距: 单倍行距"/>
    <w:basedOn w:val="4"/>
    <w:qFormat/>
    <w:uiPriority w:val="0"/>
    <w:pPr>
      <w:keepNext w:val="0"/>
      <w:keepLines w:val="0"/>
      <w:tabs>
        <w:tab w:val="left" w:pos="-567"/>
      </w:tabs>
      <w:spacing w:before="120" w:after="120" w:line="240" w:lineRule="auto"/>
      <w:ind w:left="-19" w:firstLine="19"/>
      <w:jc w:val="left"/>
    </w:pPr>
    <w:rPr>
      <w:b w:val="0"/>
      <w:color w:val="000000"/>
      <w:sz w:val="24"/>
    </w:rPr>
  </w:style>
  <w:style w:type="paragraph" w:customStyle="1" w:styleId="133">
    <w:name w:val="Table"/>
    <w:basedOn w:val="1"/>
    <w:qFormat/>
    <w:uiPriority w:val="0"/>
    <w:pPr>
      <w:spacing w:before="20" w:after="20"/>
      <w:jc w:val="left"/>
    </w:pPr>
    <w:rPr>
      <w:szCs w:val="20"/>
    </w:rPr>
  </w:style>
  <w:style w:type="paragraph" w:customStyle="1" w:styleId="13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35">
    <w:name w:val="GMCC 正文"/>
    <w:basedOn w:val="1"/>
    <w:qFormat/>
    <w:uiPriority w:val="0"/>
    <w:pPr>
      <w:spacing w:line="360" w:lineRule="exact"/>
    </w:pPr>
    <w:rPr>
      <w:szCs w:val="20"/>
    </w:rPr>
  </w:style>
  <w:style w:type="paragraph" w:customStyle="1" w:styleId="136">
    <w:name w:val="Char1 Char Char Char Char Char Char Char Char Char"/>
    <w:basedOn w:val="1"/>
    <w:qFormat/>
    <w:uiPriority w:val="0"/>
    <w:pPr>
      <w:widowControl/>
      <w:spacing w:after="160" w:line="240" w:lineRule="exact"/>
      <w:jc w:val="left"/>
    </w:pPr>
    <w:rPr>
      <w:rFonts w:eastAsia="楷体_GB2312"/>
      <w:sz w:val="30"/>
      <w:szCs w:val="20"/>
    </w:rPr>
  </w:style>
  <w:style w:type="paragraph" w:customStyle="1" w:styleId="13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38">
    <w:name w:val="自定义正文"/>
    <w:basedOn w:val="1"/>
    <w:qFormat/>
    <w:uiPriority w:val="0"/>
    <w:pPr>
      <w:spacing w:afterLines="50" w:line="360" w:lineRule="auto"/>
      <w:ind w:firstLine="200" w:firstLineChars="200"/>
      <w:jc w:val="left"/>
    </w:pPr>
    <w:rPr>
      <w:szCs w:val="24"/>
    </w:rPr>
  </w:style>
  <w:style w:type="paragraph" w:customStyle="1" w:styleId="139">
    <w:name w:val="_Style 16"/>
    <w:basedOn w:val="1"/>
    <w:next w:val="91"/>
    <w:qFormat/>
    <w:uiPriority w:val="34"/>
    <w:pPr>
      <w:ind w:firstLine="420" w:firstLineChars="200"/>
    </w:pPr>
    <w:rPr>
      <w:rFonts w:ascii="Calibri" w:hAnsi="Calibri"/>
      <w:szCs w:val="20"/>
    </w:rPr>
  </w:style>
  <w:style w:type="paragraph" w:customStyle="1" w:styleId="140">
    <w:name w:val="_Style 1"/>
    <w:basedOn w:val="1"/>
    <w:qFormat/>
    <w:uiPriority w:val="34"/>
    <w:pPr>
      <w:ind w:firstLine="420" w:firstLineChars="200"/>
    </w:pPr>
    <w:rPr>
      <w:sz w:val="21"/>
      <w:szCs w:val="22"/>
    </w:rPr>
  </w:style>
  <w:style w:type="paragraph" w:customStyle="1" w:styleId="141">
    <w:name w:val="修订1"/>
    <w:semiHidden/>
    <w:qFormat/>
    <w:uiPriority w:val="99"/>
    <w:rPr>
      <w:rFonts w:ascii="Times New Roman" w:hAnsi="Times New Roman" w:eastAsia="宋体" w:cs="Times New Roman"/>
      <w:kern w:val="2"/>
      <w:sz w:val="24"/>
      <w:szCs w:val="21"/>
      <w:lang w:val="en-US" w:eastAsia="zh-CN" w:bidi="ar-SA"/>
    </w:rPr>
  </w:style>
  <w:style w:type="paragraph" w:customStyle="1" w:styleId="142">
    <w:name w:val="标题1 无缩进"/>
    <w:basedOn w:val="1"/>
    <w:qFormat/>
    <w:uiPriority w:val="0"/>
    <w:pPr>
      <w:keepNext/>
      <w:keepLines/>
      <w:spacing w:beforeLines="50" w:afterLines="50" w:line="578" w:lineRule="auto"/>
      <w:jc w:val="center"/>
      <w:outlineLvl w:val="0"/>
    </w:pPr>
    <w:rPr>
      <w:rFonts w:eastAsia="黑体" w:cs="宋体"/>
      <w:b/>
      <w:bCs/>
      <w:kern w:val="44"/>
      <w:sz w:val="36"/>
      <w:szCs w:val="20"/>
    </w:rPr>
  </w:style>
  <w:style w:type="paragraph" w:customStyle="1" w:styleId="143">
    <w:name w:val="表头"/>
    <w:qFormat/>
    <w:uiPriority w:val="0"/>
    <w:pPr>
      <w:keepNext/>
      <w:keepLines/>
      <w:spacing w:before="120" w:after="120" w:line="300" w:lineRule="auto"/>
      <w:jc w:val="center"/>
      <w:textAlignment w:val="baseline"/>
    </w:pPr>
    <w:rPr>
      <w:rFonts w:ascii="Times New Roman" w:hAnsi="Times New Roman" w:eastAsia="宋体" w:cs="Times New Roman"/>
      <w:sz w:val="21"/>
      <w:lang w:val="en-US" w:eastAsia="zh-CN" w:bidi="ar-SA"/>
    </w:rPr>
  </w:style>
  <w:style w:type="paragraph" w:customStyle="1" w:styleId="144">
    <w:name w:val="TOC 标题1"/>
    <w:basedOn w:val="2"/>
    <w:next w:val="1"/>
    <w:qFormat/>
    <w:uiPriority w:val="39"/>
    <w:pPr>
      <w:widowControl/>
      <w:numPr>
        <w:numId w:val="0"/>
      </w:numPr>
      <w:spacing w:before="0" w:after="0" w:line="276" w:lineRule="auto"/>
      <w:jc w:val="left"/>
      <w:outlineLvl w:val="9"/>
    </w:pPr>
    <w:rPr>
      <w:rFonts w:ascii="Cambria" w:hAnsi="Cambria"/>
      <w:color w:val="365F91"/>
      <w:kern w:val="0"/>
      <w:sz w:val="28"/>
      <w:szCs w:val="28"/>
    </w:rPr>
  </w:style>
  <w:style w:type="paragraph" w:customStyle="1" w:styleId="145">
    <w:name w:val="CM5"/>
    <w:basedOn w:val="1"/>
    <w:next w:val="1"/>
    <w:qFormat/>
    <w:uiPriority w:val="0"/>
    <w:pPr>
      <w:autoSpaceDE w:val="0"/>
      <w:autoSpaceDN w:val="0"/>
      <w:adjustRightInd w:val="0"/>
      <w:spacing w:line="220" w:lineRule="atLeast"/>
      <w:jc w:val="left"/>
    </w:pPr>
    <w:rPr>
      <w:rFonts w:ascii="H Yg 2gj" w:eastAsia="H Yg 2gj"/>
      <w:kern w:val="0"/>
      <w:szCs w:val="24"/>
      <w:lang w:eastAsia="en-US"/>
    </w:rPr>
  </w:style>
  <w:style w:type="paragraph" w:customStyle="1" w:styleId="146">
    <w:name w:val="彩色列表1"/>
    <w:basedOn w:val="1"/>
    <w:qFormat/>
    <w:uiPriority w:val="0"/>
    <w:pPr>
      <w:widowControl/>
      <w:ind w:firstLine="200" w:firstLineChars="200"/>
      <w:jc w:val="left"/>
    </w:pPr>
    <w:rPr>
      <w:rFonts w:ascii="Calibri" w:hAnsi="Calibri"/>
      <w:kern w:val="0"/>
      <w:szCs w:val="24"/>
    </w:rPr>
  </w:style>
  <w:style w:type="paragraph" w:customStyle="1" w:styleId="147">
    <w:name w:val="Char"/>
    <w:basedOn w:val="1"/>
    <w:qFormat/>
    <w:uiPriority w:val="0"/>
    <w:pPr>
      <w:spacing w:line="360" w:lineRule="auto"/>
      <w:ind w:firstLine="200" w:firstLineChars="200"/>
    </w:pPr>
    <w:rPr>
      <w:rFonts w:eastAsia="楷体_GB2312"/>
      <w:sz w:val="30"/>
      <w:szCs w:val="20"/>
    </w:rPr>
  </w:style>
  <w:style w:type="paragraph" w:customStyle="1" w:styleId="148">
    <w:name w:val="正文格式"/>
    <w:basedOn w:val="1"/>
    <w:qFormat/>
    <w:uiPriority w:val="0"/>
    <w:pPr>
      <w:widowControl/>
      <w:adjustRightInd w:val="0"/>
      <w:snapToGrid w:val="0"/>
      <w:spacing w:line="360" w:lineRule="atLeast"/>
      <w:ind w:firstLine="482"/>
      <w:textAlignment w:val="baseline"/>
    </w:pPr>
    <w:rPr>
      <w:szCs w:val="20"/>
    </w:rPr>
  </w:style>
  <w:style w:type="paragraph" w:customStyle="1" w:styleId="149">
    <w:name w:val="title3"/>
    <w:basedOn w:val="124"/>
    <w:qFormat/>
    <w:uiPriority w:val="0"/>
    <w:pPr>
      <w:numPr>
        <w:ilvl w:val="1"/>
      </w:numPr>
      <w:outlineLvl w:val="2"/>
    </w:pPr>
  </w:style>
  <w:style w:type="paragraph" w:customStyle="1" w:styleId="150">
    <w:name w:val="p01"/>
    <w:basedOn w:val="1"/>
    <w:qFormat/>
    <w:uiPriority w:val="0"/>
    <w:pPr>
      <w:widowControl/>
      <w:spacing w:before="300" w:after="100" w:afterAutospacing="1"/>
      <w:jc w:val="left"/>
    </w:pPr>
    <w:rPr>
      <w:rFonts w:ascii="宋体" w:hAnsi="宋体" w:eastAsia="楷体_GB2312" w:cs="宋体"/>
      <w:color w:val="666666"/>
      <w:kern w:val="0"/>
      <w:sz w:val="30"/>
    </w:rPr>
  </w:style>
  <w:style w:type="paragraph" w:customStyle="1" w:styleId="151">
    <w:name w:val="标准正文"/>
    <w:basedOn w:val="19"/>
    <w:qFormat/>
    <w:uiPriority w:val="0"/>
    <w:pPr>
      <w:spacing w:before="60" w:after="60" w:line="360" w:lineRule="auto"/>
      <w:ind w:left="0" w:leftChars="0" w:firstLine="482"/>
    </w:pPr>
    <w:rPr>
      <w:rFonts w:ascii="宋体" w:hAnsi="宋体"/>
    </w:rPr>
  </w:style>
  <w:style w:type="paragraph" w:customStyle="1" w:styleId="152">
    <w:name w:val="样式 小四 行距: 1.5 倍行距 首行缩进:  2 字符"/>
    <w:basedOn w:val="1"/>
    <w:qFormat/>
    <w:uiPriority w:val="0"/>
    <w:pPr>
      <w:spacing w:afterLines="50" w:line="360" w:lineRule="auto"/>
      <w:ind w:firstLine="480" w:firstLineChars="200"/>
    </w:pPr>
    <w:rPr>
      <w:rFonts w:eastAsia="楷体_GB2312"/>
      <w:szCs w:val="20"/>
    </w:rPr>
  </w:style>
  <w:style w:type="paragraph" w:customStyle="1" w:styleId="153">
    <w:name w:val="title1"/>
    <w:basedOn w:val="1"/>
    <w:qFormat/>
    <w:uiPriority w:val="0"/>
    <w:pPr>
      <w:numPr>
        <w:ilvl w:val="0"/>
        <w:numId w:val="3"/>
      </w:numPr>
      <w:spacing w:beforeLines="50" w:line="360" w:lineRule="auto"/>
      <w:outlineLvl w:val="0"/>
    </w:pPr>
    <w:rPr>
      <w:rFonts w:ascii="楷体_GB2312" w:hAnsi="宋体" w:eastAsia="楷体_GB2312"/>
      <w:b/>
      <w:color w:val="000000"/>
      <w:szCs w:val="24"/>
    </w:rPr>
  </w:style>
  <w:style w:type="paragraph" w:customStyle="1" w:styleId="154">
    <w:name w:val="样式 样式 样式 标题 2 + 宋体 五号 非加粗 黑色 + 段前: 6 磅 段后: 0 磅 行距: 单倍行距 + 段前: 12..."/>
    <w:basedOn w:val="1"/>
    <w:qFormat/>
    <w:uiPriority w:val="0"/>
    <w:pPr>
      <w:keepNext/>
      <w:keepLines/>
      <w:tabs>
        <w:tab w:val="left" w:pos="567"/>
      </w:tabs>
      <w:adjustRightInd w:val="0"/>
      <w:spacing w:before="240"/>
      <w:ind w:left="567" w:hanging="567"/>
      <w:jc w:val="left"/>
      <w:outlineLvl w:val="1"/>
    </w:pPr>
    <w:rPr>
      <w:rFonts w:ascii="宋体" w:hAnsi="宋体" w:cs="宋体"/>
      <w:color w:val="000000"/>
      <w:kern w:val="0"/>
      <w:sz w:val="21"/>
      <w:szCs w:val="20"/>
    </w:rPr>
  </w:style>
  <w:style w:type="table" w:customStyle="1" w:styleId="155">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156">
    <w:name w:val="Table Paragraph"/>
    <w:basedOn w:val="1"/>
    <w:qFormat/>
    <w:uiPriority w:val="1"/>
    <w:rPr>
      <w:rFonts w:ascii="宋体" w:hAnsi="宋体" w:cs="宋体"/>
      <w:lang w:val="zh-CN" w:bidi="zh-CN"/>
    </w:rPr>
  </w:style>
  <w:style w:type="paragraph" w:customStyle="1" w:styleId="157">
    <w:name w:val="标题1"/>
    <w:basedOn w:val="2"/>
    <w:next w:val="1"/>
    <w:qFormat/>
    <w:uiPriority w:val="0"/>
    <w:pPr>
      <w:numPr>
        <w:ilvl w:val="0"/>
        <w:numId w:val="4"/>
      </w:numPr>
      <w:tabs>
        <w:tab w:val="left" w:pos="1552"/>
      </w:tabs>
      <w:spacing w:before="120" w:after="0" w:line="360" w:lineRule="auto"/>
    </w:pPr>
    <w:rPr>
      <w:rFonts w:ascii="Courier New" w:hAnsi="Courier New" w:eastAsia="Cambria" w:cs="Courier New"/>
      <w:bCs w:val="0"/>
      <w:sz w:val="30"/>
      <w:szCs w:val="28"/>
    </w:rPr>
  </w:style>
  <w:style w:type="paragraph" w:customStyle="1" w:styleId="158">
    <w:name w:val="第小项"/>
    <w:basedOn w:val="5"/>
    <w:next w:val="1"/>
    <w:qFormat/>
    <w:uiPriority w:val="0"/>
    <w:pPr>
      <w:keepNext w:val="0"/>
      <w:numPr>
        <w:ilvl w:val="4"/>
        <w:numId w:val="4"/>
      </w:numPr>
      <w:adjustRightInd w:val="0"/>
      <w:snapToGrid w:val="0"/>
      <w:spacing w:before="0" w:after="0" w:line="360" w:lineRule="auto"/>
      <w:ind w:firstLine="540" w:firstLineChars="225"/>
      <w:outlineLvl w:val="4"/>
    </w:pPr>
    <w:rPr>
      <w:rFonts w:ascii="Courier New" w:hAnsi="Courier New" w:eastAsia="Calibri" w:cs="Courier New"/>
      <w:b w:val="0"/>
      <w:sz w:val="24"/>
    </w:rPr>
  </w:style>
  <w:style w:type="paragraph" w:customStyle="1" w:styleId="159">
    <w:name w:val="正文-不更新"/>
    <w:qFormat/>
    <w:uiPriority w:val="0"/>
    <w:pPr>
      <w:widowControl w:val="0"/>
      <w:spacing w:line="360" w:lineRule="auto"/>
      <w:ind w:firstLine="539"/>
      <w:jc w:val="both"/>
      <w:textAlignment w:val="center"/>
    </w:pPr>
    <w:rPr>
      <w:rFonts w:ascii="Calibri" w:hAnsi="Calibri" w:eastAsia="宋体" w:cs="Calibri"/>
      <w:kern w:val="2"/>
      <w:sz w:val="24"/>
      <w:szCs w:val="28"/>
      <w:lang w:val="en-US" w:eastAsia="zh-CN" w:bidi="ar-SA"/>
    </w:rPr>
  </w:style>
  <w:style w:type="paragraph" w:customStyle="1" w:styleId="160">
    <w:name w:val="第尾项"/>
    <w:basedOn w:val="159"/>
    <w:qFormat/>
    <w:uiPriority w:val="0"/>
    <w:pPr>
      <w:numPr>
        <w:ilvl w:val="6"/>
        <w:numId w:val="4"/>
      </w:numPr>
      <w:ind w:left="0" w:firstLine="864" w:firstLineChars="360"/>
      <w:outlineLvl w:val="6"/>
    </w:pPr>
  </w:style>
  <w:style w:type="paragraph" w:customStyle="1" w:styleId="161">
    <w:name w:val="列表段落11"/>
    <w:basedOn w:val="1"/>
    <w:qFormat/>
    <w:uiPriority w:val="34"/>
    <w:pPr>
      <w:ind w:firstLine="420" w:firstLineChars="200"/>
    </w:pPr>
  </w:style>
  <w:style w:type="paragraph" w:customStyle="1" w:styleId="162">
    <w:name w:val="修订2"/>
    <w:hidden/>
    <w:semiHidden/>
    <w:qFormat/>
    <w:uiPriority w:val="99"/>
    <w:rPr>
      <w:rFonts w:ascii="Times New Roman" w:hAnsi="Times New Roman" w:eastAsia="宋体" w:cs="Times New Roman"/>
      <w:kern w:val="2"/>
      <w:sz w:val="24"/>
      <w:szCs w:val="21"/>
      <w:lang w:val="en-US" w:eastAsia="zh-CN" w:bidi="ar-SA"/>
    </w:rPr>
  </w:style>
  <w:style w:type="paragraph" w:styleId="163">
    <w:name w:val="List Paragraph"/>
    <w:basedOn w:val="1"/>
    <w:qFormat/>
    <w:uiPriority w:val="34"/>
    <w:pPr>
      <w:ind w:firstLine="420" w:firstLineChars="200"/>
    </w:pPr>
  </w:style>
  <w:style w:type="paragraph" w:customStyle="1" w:styleId="164">
    <w:name w:val="修订3"/>
    <w:hidden/>
    <w:semiHidden/>
    <w:qFormat/>
    <w:uiPriority w:val="99"/>
    <w:rPr>
      <w:rFonts w:ascii="Times New Roman" w:hAnsi="Times New Roman" w:eastAsia="宋体" w:cs="Times New Roman"/>
      <w:kern w:val="2"/>
      <w:sz w:val="24"/>
      <w:szCs w:val="21"/>
      <w:lang w:val="en-US" w:eastAsia="zh-CN" w:bidi="ar-SA"/>
    </w:rPr>
  </w:style>
  <w:style w:type="paragraph" w:customStyle="1" w:styleId="165">
    <w:name w:val="正文文字1"/>
    <w:basedOn w:val="18"/>
    <w:qFormat/>
    <w:uiPriority w:val="0"/>
    <w:pPr>
      <w:widowControl w:val="0"/>
      <w:adjustRightInd w:val="0"/>
      <w:spacing w:line="360" w:lineRule="atLeast"/>
      <w:ind w:left="72" w:leftChars="30" w:right="72" w:rightChars="30"/>
      <w:textAlignment w:val="baseline"/>
    </w:pPr>
    <w:rPr>
      <w:rFonts w:eastAsia="宋体"/>
      <w:b w:val="0"/>
      <w:sz w:val="21"/>
    </w:rPr>
  </w:style>
  <w:style w:type="paragraph" w:customStyle="1" w:styleId="166">
    <w:name w:val="Revision"/>
    <w:hidden/>
    <w:semiHidden/>
    <w:qFormat/>
    <w:uiPriority w:val="99"/>
    <w:rPr>
      <w:rFonts w:ascii="Times New Roman" w:hAnsi="Times New Roman" w:eastAsia="宋体" w:cs="Times New Roman"/>
      <w:kern w:val="2"/>
      <w:sz w:val="24"/>
      <w:szCs w:val="21"/>
      <w:lang w:val="en-US" w:eastAsia="zh-CN" w:bidi="ar-SA"/>
    </w:rPr>
  </w:style>
  <w:style w:type="character" w:customStyle="1" w:styleId="167">
    <w:name w:val="_Style 2"/>
    <w:qFormat/>
    <w:uiPriority w:val="19"/>
    <w:rPr>
      <w:rFonts w:ascii="宋体" w:hAnsi="宋体" w:cs="仿宋"/>
      <w:color w:val="FF0000"/>
      <w:sz w:val="28"/>
      <w:szCs w:val="28"/>
      <w:u w:val="single"/>
    </w:rPr>
  </w:style>
  <w:style w:type="character" w:customStyle="1" w:styleId="168">
    <w:name w:val="_Style 3"/>
    <w:qFormat/>
    <w:uiPriority w:val="31"/>
    <w:rPr>
      <w:rFonts w:ascii="宋体" w:hAnsi="宋体" w:cs="仿宋"/>
      <w:strike/>
      <w:color w:val="0000CC"/>
      <w:sz w:val="28"/>
      <w:szCs w:val="28"/>
    </w:rPr>
  </w:style>
  <w:style w:type="character" w:customStyle="1" w:styleId="169">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38"/>
    <customShpInfo spid="_x0000_s103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40</Pages>
  <Words>19791</Words>
  <Characters>21007</Characters>
  <Lines>207</Lines>
  <Paragraphs>58</Paragraphs>
  <TotalTime>0</TotalTime>
  <ScaleCrop>false</ScaleCrop>
  <LinksUpToDate>false</LinksUpToDate>
  <CharactersWithSpaces>23040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2022-08-29T19:04:00Z</dcterms:created>
  <dc:creator>ThinkPad</dc:creator>
  <cp:lastModifiedBy>Administrator</cp:lastModifiedBy>
  <cp:lastPrinted>2023-09-15T11:08:00Z</cp:lastPrinted>
  <dcterms:modified xsi:type="dcterms:W3CDTF">2023-10-07T01:28:34Z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79C4F92A2B104189976CA1C0E65AE2AF_13</vt:lpwstr>
  </property>
</Properties>
</file>