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eastAsia="宋体"/>
          <w:b/>
          <w:sz w:val="72"/>
          <w:szCs w:val="72"/>
          <w:highlight w:val="yellow"/>
          <w:lang w:val="en-US" w:eastAsia="zh-CN"/>
        </w:rPr>
      </w:pPr>
      <w:bookmarkStart w:id="0" w:name="_Toc6418"/>
      <w:bookmarkStart w:id="1" w:name="_Toc354060213"/>
      <w:bookmarkStart w:id="2" w:name="_Toc15647"/>
      <w:r>
        <w:rPr>
          <w:rFonts w:hint="eastAsia" w:ascii="宋体" w:hAnsi="宋体"/>
          <w:b/>
          <w:sz w:val="28"/>
          <w:szCs w:val="28"/>
        </w:rPr>
        <w:t xml:space="preserve"> </w:t>
      </w:r>
      <w:r>
        <w:rPr>
          <w:rFonts w:hint="eastAsia" w:ascii="宋体" w:hAnsi="宋体"/>
          <w:b/>
          <w:sz w:val="30"/>
          <w:szCs w:val="30"/>
        </w:rPr>
        <w:t>项目</w:t>
      </w:r>
      <w:r>
        <w:rPr>
          <w:rFonts w:hint="eastAsia" w:ascii="宋体" w:hAnsi="宋体"/>
          <w:b/>
          <w:sz w:val="30"/>
          <w:szCs w:val="30"/>
          <w:highlight w:val="none"/>
        </w:rPr>
        <w:t>编号：21XY-采购-00001</w:t>
      </w:r>
      <w:r>
        <w:rPr>
          <w:rFonts w:hint="eastAsia" w:ascii="宋体" w:hAnsi="宋体"/>
          <w:b/>
          <w:sz w:val="30"/>
          <w:szCs w:val="30"/>
          <w:highlight w:val="none"/>
          <w:lang w:val="en-US" w:eastAsia="zh-CN"/>
        </w:rPr>
        <w:t>9</w:t>
      </w:r>
    </w:p>
    <w:p>
      <w:pPr>
        <w:jc w:val="center"/>
      </w:pPr>
    </w:p>
    <w:p>
      <w:pPr>
        <w:jc w:val="center"/>
      </w:pPr>
    </w:p>
    <w:p>
      <w:pPr>
        <w:jc w:val="center"/>
      </w:pPr>
    </w:p>
    <w:p>
      <w:pPr>
        <w:jc w:val="center"/>
      </w:pPr>
    </w:p>
    <w:p/>
    <w:p>
      <w:pPr>
        <w:jc w:val="center"/>
        <w:rPr>
          <w:rFonts w:eastAsia="隶书"/>
          <w:b/>
          <w:sz w:val="84"/>
          <w:szCs w:val="84"/>
        </w:rPr>
      </w:pPr>
    </w:p>
    <w:p>
      <w:pPr>
        <w:rPr>
          <w:sz w:val="36"/>
          <w:szCs w:val="36"/>
        </w:rPr>
      </w:pPr>
    </w:p>
    <w:p>
      <w:pPr>
        <w:jc w:val="center"/>
        <w:rPr>
          <w:rFonts w:hint="eastAsia"/>
          <w:b/>
          <w:bCs/>
          <w:sz w:val="36"/>
          <w:szCs w:val="36"/>
          <w:lang w:val="en-US" w:eastAsia="zh-CN"/>
        </w:rPr>
      </w:pPr>
      <w:r>
        <w:rPr>
          <w:rFonts w:hint="eastAsia"/>
          <w:b/>
          <w:bCs/>
          <w:sz w:val="36"/>
          <w:szCs w:val="36"/>
          <w:lang w:val="en-US" w:eastAsia="zh-CN"/>
        </w:rPr>
        <w:t>月浦镇段泾村土地整理复垦项目</w:t>
      </w:r>
    </w:p>
    <w:p>
      <w:pPr>
        <w:jc w:val="center"/>
        <w:rPr>
          <w:rFonts w:hint="eastAsia"/>
          <w:b/>
          <w:bCs/>
          <w:sz w:val="36"/>
          <w:szCs w:val="36"/>
          <w:lang w:val="en-US" w:eastAsia="zh-CN"/>
        </w:rPr>
      </w:pPr>
      <w:r>
        <w:rPr>
          <w:rFonts w:hint="eastAsia"/>
          <w:b/>
          <w:bCs/>
          <w:sz w:val="36"/>
          <w:szCs w:val="36"/>
          <w:lang w:val="en-US" w:eastAsia="zh-CN"/>
        </w:rPr>
        <w:t>（沪宝耕立【2021】0007号）</w:t>
      </w:r>
    </w:p>
    <w:p>
      <w:pPr>
        <w:rPr>
          <w:sz w:val="48"/>
          <w:szCs w:val="48"/>
        </w:rPr>
      </w:pPr>
    </w:p>
    <w:p>
      <w:pPr>
        <w:rPr>
          <w:sz w:val="48"/>
          <w:szCs w:val="48"/>
        </w:rPr>
      </w:pPr>
    </w:p>
    <w:p>
      <w:pPr>
        <w:rPr>
          <w:sz w:val="48"/>
          <w:szCs w:val="48"/>
        </w:rPr>
      </w:pPr>
    </w:p>
    <w:p>
      <w:pPr>
        <w:rPr>
          <w:sz w:val="48"/>
          <w:szCs w:val="48"/>
        </w:rPr>
      </w:pPr>
    </w:p>
    <w:p>
      <w:pPr>
        <w:rPr>
          <w:sz w:val="32"/>
          <w:szCs w:val="32"/>
        </w:rPr>
      </w:pPr>
    </w:p>
    <w:p>
      <w:pPr>
        <w:jc w:val="center"/>
        <w:rPr>
          <w:b/>
          <w:bCs/>
          <w:sz w:val="36"/>
          <w:szCs w:val="36"/>
        </w:rPr>
      </w:pPr>
      <w:r>
        <w:rPr>
          <w:rFonts w:hint="eastAsia"/>
          <w:b/>
          <w:bCs/>
          <w:sz w:val="36"/>
          <w:szCs w:val="36"/>
        </w:rPr>
        <w:t>竞争性磋商文件</w:t>
      </w:r>
    </w:p>
    <w:p>
      <w:pPr>
        <w:rPr>
          <w:b/>
          <w:sz w:val="72"/>
        </w:rPr>
      </w:pPr>
    </w:p>
    <w:p>
      <w:pPr>
        <w:pStyle w:val="9"/>
        <w:rPr>
          <w:b/>
          <w:sz w:val="72"/>
        </w:rPr>
      </w:pPr>
    </w:p>
    <w:p>
      <w:pPr>
        <w:pStyle w:val="9"/>
        <w:rPr>
          <w:b/>
          <w:sz w:val="72"/>
        </w:rPr>
      </w:pPr>
    </w:p>
    <w:p>
      <w:pPr>
        <w:pStyle w:val="9"/>
        <w:rPr>
          <w:b/>
          <w:sz w:val="72"/>
        </w:rPr>
      </w:pPr>
    </w:p>
    <w:p>
      <w:pPr>
        <w:pStyle w:val="9"/>
        <w:rPr>
          <w:b/>
          <w:sz w:val="72"/>
        </w:rPr>
      </w:pPr>
    </w:p>
    <w:p>
      <w:pPr>
        <w:pStyle w:val="9"/>
        <w:rPr>
          <w:b/>
          <w:sz w:val="72"/>
        </w:rPr>
      </w:pPr>
    </w:p>
    <w:p>
      <w:pPr>
        <w:spacing w:line="360" w:lineRule="auto"/>
        <w:jc w:val="center"/>
        <w:rPr>
          <w:rFonts w:ascii="宋体" w:hAnsi="宋体" w:cs="宋体"/>
          <w:b/>
          <w:sz w:val="30"/>
          <w:szCs w:val="30"/>
        </w:rPr>
      </w:pPr>
      <w:r>
        <w:rPr>
          <w:rFonts w:hint="eastAsia" w:ascii="宋体" w:hAnsi="宋体" w:cs="宋体"/>
          <w:b/>
          <w:sz w:val="30"/>
          <w:szCs w:val="30"/>
        </w:rPr>
        <w:t xml:space="preserve">采购人: </w:t>
      </w:r>
      <w:r>
        <w:rPr>
          <w:rFonts w:hint="eastAsia" w:ascii="宋体" w:hAnsi="宋体" w:cs="宋体"/>
          <w:b/>
          <w:sz w:val="30"/>
          <w:szCs w:val="30"/>
          <w:lang w:eastAsia="zh-CN"/>
        </w:rPr>
        <w:t>上海市宝山区月浦镇人民政府</w:t>
      </w:r>
    </w:p>
    <w:p>
      <w:pPr>
        <w:spacing w:line="360" w:lineRule="auto"/>
        <w:jc w:val="center"/>
        <w:rPr>
          <w:rFonts w:ascii="宋体" w:hAnsi="宋体" w:cs="宋体"/>
          <w:b/>
          <w:sz w:val="30"/>
          <w:szCs w:val="30"/>
        </w:rPr>
      </w:pPr>
      <w:r>
        <w:rPr>
          <w:rFonts w:hint="eastAsia" w:ascii="宋体" w:hAnsi="宋体" w:cs="宋体"/>
          <w:b/>
          <w:sz w:val="30"/>
          <w:szCs w:val="30"/>
        </w:rPr>
        <w:t>采购代理机构: 上海熙运工程咨询有限公司</w:t>
      </w:r>
    </w:p>
    <w:p>
      <w:pPr>
        <w:pStyle w:val="15"/>
        <w:tabs>
          <w:tab w:val="right" w:pos="4000"/>
          <w:tab w:val="right" w:leader="dot" w:pos="8306"/>
        </w:tabs>
        <w:spacing w:line="360" w:lineRule="auto"/>
        <w:ind w:firstLine="643" w:firstLineChars="200"/>
        <w:jc w:val="center"/>
        <w:rPr>
          <w:rFonts w:ascii="黑体" w:hAnsi="宋体" w:eastAsia="黑体"/>
          <w:b/>
          <w:sz w:val="32"/>
          <w:szCs w:val="32"/>
        </w:rPr>
      </w:pPr>
    </w:p>
    <w:p>
      <w:pPr>
        <w:pStyle w:val="15"/>
        <w:tabs>
          <w:tab w:val="right" w:pos="4000"/>
          <w:tab w:val="right" w:leader="dot" w:pos="8306"/>
        </w:tabs>
        <w:spacing w:line="360" w:lineRule="auto"/>
        <w:ind w:firstLine="643" w:firstLineChars="200"/>
        <w:jc w:val="center"/>
        <w:rPr>
          <w:rFonts w:ascii="黑体" w:hAnsi="宋体" w:eastAsia="黑体"/>
          <w:b/>
          <w:sz w:val="32"/>
          <w:szCs w:val="32"/>
        </w:rPr>
      </w:pPr>
    </w:p>
    <w:p>
      <w:pPr>
        <w:pStyle w:val="15"/>
        <w:tabs>
          <w:tab w:val="right" w:pos="4000"/>
          <w:tab w:val="right" w:leader="dot" w:pos="8306"/>
        </w:tabs>
        <w:spacing w:line="360" w:lineRule="auto"/>
        <w:jc w:val="center"/>
        <w:rPr>
          <w:rFonts w:ascii="宋体" w:hAnsi="宋体" w:cs="宋体"/>
          <w:b/>
          <w:sz w:val="30"/>
          <w:szCs w:val="30"/>
        </w:rPr>
      </w:pPr>
      <w:r>
        <w:rPr>
          <w:rFonts w:hint="eastAsia" w:ascii="宋体" w:hAnsi="宋体" w:cs="宋体"/>
          <w:b/>
          <w:sz w:val="30"/>
          <w:szCs w:val="30"/>
        </w:rPr>
        <w:t>二〇二一年</w:t>
      </w:r>
      <w:r>
        <w:rPr>
          <w:rFonts w:hint="eastAsia" w:ascii="宋体" w:hAnsi="宋体" w:cs="宋体"/>
          <w:b/>
          <w:sz w:val="30"/>
          <w:szCs w:val="30"/>
          <w:lang w:val="en-US" w:eastAsia="zh-CN"/>
        </w:rPr>
        <w:t>七</w:t>
      </w:r>
      <w:r>
        <w:rPr>
          <w:rFonts w:hint="eastAsia" w:ascii="宋体" w:hAnsi="宋体" w:cs="宋体"/>
          <w:b/>
          <w:sz w:val="30"/>
          <w:szCs w:val="30"/>
        </w:rPr>
        <w:t>月</w:t>
      </w:r>
    </w:p>
    <w:p>
      <w:pPr>
        <w:pStyle w:val="15"/>
        <w:tabs>
          <w:tab w:val="right" w:leader="dot" w:pos="9467"/>
        </w:tabs>
      </w:pPr>
    </w:p>
    <w:p/>
    <w:p>
      <w:pPr>
        <w:pStyle w:val="2"/>
      </w:pPr>
    </w:p>
    <w:p>
      <w:pPr>
        <w:pStyle w:val="2"/>
      </w:pPr>
    </w:p>
    <w:p>
      <w:pPr>
        <w:ind w:firstLine="1039" w:firstLineChars="199"/>
        <w:jc w:val="right"/>
        <w:rPr>
          <w:rFonts w:hint="eastAsia" w:ascii="黑体" w:hAnsi="黑体" w:eastAsia="黑体"/>
          <w:b/>
          <w:sz w:val="52"/>
          <w:szCs w:val="52"/>
        </w:rPr>
      </w:pPr>
    </w:p>
    <w:p>
      <w:pPr>
        <w:ind w:firstLine="1039" w:firstLineChars="199"/>
        <w:jc w:val="right"/>
        <w:rPr>
          <w:rFonts w:hint="eastAsia" w:ascii="黑体" w:hAnsi="黑体" w:eastAsia="黑体"/>
          <w:b/>
          <w:sz w:val="52"/>
          <w:szCs w:val="52"/>
        </w:rPr>
      </w:pPr>
    </w:p>
    <w:p>
      <w:pPr>
        <w:ind w:firstLine="1039" w:firstLineChars="199"/>
        <w:jc w:val="right"/>
        <w:rPr>
          <w:rFonts w:hint="eastAsia"/>
          <w:b/>
          <w:sz w:val="44"/>
          <w:szCs w:val="44"/>
        </w:rPr>
      </w:pPr>
      <w:r>
        <w:rPr>
          <w:rFonts w:hint="eastAsia" w:ascii="黑体" w:hAnsi="黑体" w:eastAsia="黑体"/>
          <w:b/>
          <w:sz w:val="52"/>
          <w:szCs w:val="52"/>
        </w:rPr>
        <w:t xml:space="preserve"> </w:t>
      </w:r>
    </w:p>
    <w:p>
      <w:pPr>
        <w:jc w:val="both"/>
        <w:rPr>
          <w:rFonts w:hint="eastAsia"/>
          <w:sz w:val="36"/>
          <w:szCs w:val="36"/>
        </w:rPr>
      </w:pPr>
    </w:p>
    <w:p>
      <w:pPr>
        <w:jc w:val="center"/>
        <w:rPr>
          <w:rFonts w:hint="eastAsia"/>
          <w:sz w:val="36"/>
          <w:szCs w:val="36"/>
          <w:lang w:val="en-US" w:eastAsia="zh-CN"/>
        </w:rPr>
      </w:pPr>
      <w:r>
        <w:rPr>
          <w:rFonts w:hint="eastAsia"/>
          <w:sz w:val="36"/>
          <w:szCs w:val="36"/>
          <w:lang w:val="en-US" w:eastAsia="zh-CN"/>
        </w:rPr>
        <w:t>月浦镇段泾村土地整理复垦项目</w:t>
      </w:r>
    </w:p>
    <w:p>
      <w:pPr>
        <w:jc w:val="center"/>
        <w:rPr>
          <w:rFonts w:hint="eastAsia"/>
          <w:sz w:val="36"/>
          <w:szCs w:val="36"/>
          <w:lang w:val="en-US" w:eastAsia="zh-CN"/>
        </w:rPr>
      </w:pPr>
      <w:r>
        <w:rPr>
          <w:rFonts w:hint="eastAsia"/>
          <w:sz w:val="36"/>
          <w:szCs w:val="36"/>
          <w:lang w:val="en-US" w:eastAsia="zh-CN"/>
        </w:rPr>
        <w:t>（沪宝耕立【2021】0007号）</w:t>
      </w:r>
    </w:p>
    <w:p>
      <w:pPr>
        <w:jc w:val="center"/>
        <w:rPr>
          <w:rFonts w:hint="eastAsia"/>
          <w:sz w:val="36"/>
          <w:szCs w:val="36"/>
        </w:rPr>
      </w:pPr>
      <w:r>
        <w:rPr>
          <w:rFonts w:hint="eastAsia"/>
          <w:sz w:val="36"/>
          <w:szCs w:val="36"/>
        </w:rPr>
        <w:t>采购文件签署页</w:t>
      </w:r>
    </w:p>
    <w:p>
      <w:pPr>
        <w:jc w:val="both"/>
        <w:rPr>
          <w:rFonts w:hint="eastAsia"/>
          <w:sz w:val="36"/>
          <w:szCs w:val="36"/>
        </w:rPr>
      </w:pPr>
    </w:p>
    <w:p>
      <w:pPr>
        <w:pStyle w:val="2"/>
        <w:rPr>
          <w:rFonts w:hint="eastAsia"/>
          <w:sz w:val="36"/>
          <w:szCs w:val="36"/>
        </w:rPr>
      </w:pPr>
    </w:p>
    <w:p>
      <w:pPr>
        <w:jc w:val="both"/>
        <w:rPr>
          <w:rFonts w:hint="eastAsia"/>
          <w:sz w:val="36"/>
          <w:szCs w:val="36"/>
        </w:rPr>
      </w:pPr>
    </w:p>
    <w:p>
      <w:pPr>
        <w:jc w:val="center"/>
        <w:rPr>
          <w:rFonts w:hint="eastAsia"/>
          <w:sz w:val="36"/>
          <w:szCs w:val="36"/>
        </w:rPr>
      </w:pPr>
    </w:p>
    <w:p>
      <w:pPr>
        <w:pStyle w:val="2"/>
        <w:rPr>
          <w:rFonts w:hint="eastAsia"/>
        </w:rPr>
      </w:pPr>
    </w:p>
    <w:p>
      <w:pPr>
        <w:rPr>
          <w:rFonts w:hint="eastAsia"/>
          <w:sz w:val="30"/>
          <w:szCs w:val="30"/>
        </w:rPr>
      </w:pPr>
      <w:r>
        <w:rPr>
          <w:rFonts w:hint="eastAsia"/>
          <w:sz w:val="30"/>
          <w:szCs w:val="30"/>
        </w:rPr>
        <w:t>采购文件编制人：</w:t>
      </w:r>
      <w:r>
        <w:rPr>
          <w:rFonts w:hint="eastAsia"/>
          <w:sz w:val="30"/>
          <w:szCs w:val="30"/>
          <w:lang w:val="en-US" w:eastAsia="zh-CN"/>
        </w:rPr>
        <w:t xml:space="preserve"> </w:t>
      </w:r>
      <w:r>
        <w:rPr>
          <w:rFonts w:hint="eastAsia"/>
          <w:sz w:val="30"/>
          <w:szCs w:val="30"/>
        </w:rPr>
        <w:t xml:space="preserve">             </w:t>
      </w:r>
      <w:r>
        <w:rPr>
          <w:rFonts w:hint="eastAsia"/>
          <w:sz w:val="30"/>
          <w:szCs w:val="30"/>
          <w:lang w:val="en-US" w:eastAsia="zh-CN"/>
        </w:rPr>
        <w:t xml:space="preserve"> </w:t>
      </w:r>
      <w:r>
        <w:rPr>
          <w:rFonts w:hint="eastAsia"/>
          <w:sz w:val="30"/>
          <w:szCs w:val="30"/>
        </w:rPr>
        <w:t xml:space="preserve">   项目负责人签字：</w:t>
      </w:r>
    </w:p>
    <w:p>
      <w:pPr>
        <w:rPr>
          <w:rFonts w:hint="eastAsia"/>
          <w:sz w:val="30"/>
          <w:szCs w:val="30"/>
        </w:rPr>
      </w:pPr>
    </w:p>
    <w:p>
      <w:pPr>
        <w:rPr>
          <w:rFonts w:hint="eastAsia"/>
          <w:sz w:val="30"/>
          <w:szCs w:val="30"/>
        </w:rPr>
      </w:pPr>
    </w:p>
    <w:p>
      <w:pPr>
        <w:pStyle w:val="2"/>
        <w:rPr>
          <w:rFonts w:hint="eastAsia"/>
          <w:sz w:val="30"/>
          <w:szCs w:val="30"/>
        </w:rPr>
      </w:pPr>
    </w:p>
    <w:p>
      <w:pPr>
        <w:pStyle w:val="2"/>
        <w:rPr>
          <w:rFonts w:hint="eastAsia"/>
          <w:sz w:val="30"/>
          <w:szCs w:val="30"/>
        </w:rPr>
      </w:pPr>
    </w:p>
    <w:p>
      <w:pPr>
        <w:pStyle w:val="2"/>
        <w:rPr>
          <w:rFonts w:hint="eastAsia"/>
          <w:sz w:val="30"/>
          <w:szCs w:val="30"/>
        </w:rPr>
      </w:pPr>
    </w:p>
    <w:p>
      <w:pPr>
        <w:pStyle w:val="2"/>
        <w:rPr>
          <w:rFonts w:hint="eastAsia"/>
        </w:rPr>
      </w:pPr>
    </w:p>
    <w:p>
      <w:pPr>
        <w:rPr>
          <w:rFonts w:hint="eastAsia"/>
          <w:sz w:val="30"/>
          <w:szCs w:val="30"/>
        </w:rPr>
      </w:pPr>
      <w:r>
        <w:rPr>
          <w:rFonts w:hint="eastAsia"/>
          <w:sz w:val="30"/>
          <w:szCs w:val="30"/>
        </w:rPr>
        <w:t>一级审核人：                      审核人签字：</w:t>
      </w:r>
    </w:p>
    <w:p>
      <w:pPr>
        <w:rPr>
          <w:rFonts w:hint="eastAsia"/>
          <w:sz w:val="30"/>
          <w:szCs w:val="30"/>
        </w:rPr>
      </w:pPr>
    </w:p>
    <w:p>
      <w:pPr>
        <w:rPr>
          <w:rFonts w:hint="eastAsia"/>
          <w:sz w:val="30"/>
          <w:szCs w:val="30"/>
        </w:rPr>
      </w:pPr>
    </w:p>
    <w:p>
      <w:pPr>
        <w:pStyle w:val="2"/>
        <w:rPr>
          <w:rFonts w:hint="eastAsia"/>
          <w:sz w:val="30"/>
          <w:szCs w:val="30"/>
        </w:rPr>
      </w:pPr>
    </w:p>
    <w:p>
      <w:pPr>
        <w:pStyle w:val="2"/>
        <w:rPr>
          <w:rFonts w:hint="eastAsia"/>
          <w:sz w:val="30"/>
          <w:szCs w:val="30"/>
        </w:rPr>
      </w:pPr>
    </w:p>
    <w:p>
      <w:pPr>
        <w:pStyle w:val="2"/>
        <w:rPr>
          <w:rFonts w:hint="eastAsia"/>
          <w:sz w:val="30"/>
          <w:szCs w:val="30"/>
        </w:rPr>
      </w:pPr>
    </w:p>
    <w:p>
      <w:pPr>
        <w:rPr>
          <w:rFonts w:hint="eastAsia"/>
          <w:sz w:val="30"/>
          <w:szCs w:val="30"/>
        </w:rPr>
      </w:pPr>
    </w:p>
    <w:p>
      <w:pPr>
        <w:rPr>
          <w:rFonts w:hint="eastAsia"/>
          <w:sz w:val="30"/>
          <w:szCs w:val="30"/>
        </w:rPr>
      </w:pPr>
      <w:r>
        <w:rPr>
          <w:rFonts w:hint="eastAsia"/>
          <w:sz w:val="30"/>
          <w:szCs w:val="30"/>
        </w:rPr>
        <w:t xml:space="preserve">二级审定人：                    </w:t>
      </w:r>
      <w:r>
        <w:rPr>
          <w:rFonts w:hint="eastAsia"/>
          <w:sz w:val="30"/>
          <w:szCs w:val="30"/>
          <w:lang w:val="en-US" w:eastAsia="zh-CN"/>
        </w:rPr>
        <w:t xml:space="preserve"> </w:t>
      </w:r>
      <w:r>
        <w:rPr>
          <w:rFonts w:hint="eastAsia"/>
          <w:sz w:val="30"/>
          <w:szCs w:val="30"/>
        </w:rPr>
        <w:t xml:space="preserve"> 审定人签字：</w:t>
      </w:r>
    </w:p>
    <w:p>
      <w:pPr>
        <w:jc w:val="center"/>
        <w:rPr>
          <w:rFonts w:hint="eastAsia"/>
          <w:sz w:val="30"/>
          <w:szCs w:val="30"/>
        </w:rPr>
      </w:pPr>
    </w:p>
    <w:p>
      <w:pPr>
        <w:jc w:val="center"/>
        <w:rPr>
          <w:rFonts w:hint="eastAsia"/>
          <w:sz w:val="30"/>
          <w:szCs w:val="30"/>
        </w:rPr>
      </w:pPr>
    </w:p>
    <w:p>
      <w:pPr>
        <w:pStyle w:val="2"/>
        <w:rPr>
          <w:rFonts w:hint="eastAsia"/>
          <w:sz w:val="30"/>
          <w:szCs w:val="30"/>
        </w:rPr>
      </w:pPr>
    </w:p>
    <w:p>
      <w:pPr>
        <w:pStyle w:val="2"/>
        <w:rPr>
          <w:rFonts w:hint="eastAsia"/>
          <w:sz w:val="30"/>
          <w:szCs w:val="30"/>
        </w:rPr>
      </w:pPr>
    </w:p>
    <w:p>
      <w:pPr>
        <w:pStyle w:val="15"/>
        <w:tabs>
          <w:tab w:val="right" w:leader="dot" w:pos="9467"/>
        </w:tabs>
        <w:jc w:val="both"/>
        <w:rPr>
          <w:sz w:val="28"/>
          <w:szCs w:val="28"/>
        </w:rPr>
        <w:sectPr>
          <w:pgSz w:w="11906" w:h="16838"/>
          <w:pgMar w:top="1418" w:right="1555" w:bottom="1418" w:left="1531" w:header="851" w:footer="992" w:gutter="0"/>
          <w:pgNumType w:start="1"/>
          <w:cols w:space="720" w:num="1"/>
          <w:docGrid w:type="lines" w:linePitch="312" w:charSpace="0"/>
        </w:sectPr>
      </w:pPr>
    </w:p>
    <w:p>
      <w:pPr>
        <w:pStyle w:val="15"/>
        <w:tabs>
          <w:tab w:val="right" w:leader="dot" w:pos="9467"/>
        </w:tabs>
        <w:jc w:val="center"/>
        <w:rPr>
          <w:sz w:val="28"/>
          <w:szCs w:val="28"/>
        </w:rPr>
      </w:pPr>
      <w:r>
        <w:rPr>
          <w:rFonts w:hint="eastAsia"/>
          <w:sz w:val="28"/>
          <w:szCs w:val="28"/>
        </w:rPr>
        <w:t>目录</w:t>
      </w:r>
    </w:p>
    <w:p>
      <w:pPr>
        <w:pStyle w:val="15"/>
        <w:tabs>
          <w:tab w:val="right" w:leader="dot" w:pos="8820"/>
        </w:tabs>
        <w:rPr>
          <w:rFonts w:asciiTheme="minorEastAsia" w:hAnsiTheme="minorEastAsia" w:eastAsiaTheme="minorEastAsia" w:cstheme="minorEastAsia"/>
          <w:bCs/>
          <w:szCs w:val="36"/>
        </w:rPr>
      </w:pPr>
      <w:r>
        <w:rPr>
          <w:rFonts w:hint="eastAsia" w:asciiTheme="minorEastAsia" w:hAnsiTheme="minorEastAsia" w:eastAsiaTheme="minorEastAsia" w:cstheme="minorEastAsia"/>
          <w:bCs/>
          <w:szCs w:val="36"/>
        </w:rPr>
        <w:fldChar w:fldCharType="begin"/>
      </w:r>
      <w:r>
        <w:rPr>
          <w:rFonts w:hint="eastAsia" w:asciiTheme="minorEastAsia" w:hAnsiTheme="minorEastAsia" w:eastAsiaTheme="minorEastAsia" w:cstheme="minorEastAsia"/>
          <w:bCs/>
          <w:szCs w:val="36"/>
        </w:rPr>
        <w:instrText xml:space="preserve">TOC \o "1-1" \h \u </w:instrText>
      </w:r>
      <w:r>
        <w:rPr>
          <w:rFonts w:hint="eastAsia" w:asciiTheme="minorEastAsia" w:hAnsiTheme="minorEastAsia" w:eastAsiaTheme="minorEastAsia" w:cstheme="minorEastAsia"/>
          <w:bCs/>
          <w:szCs w:val="36"/>
        </w:rPr>
        <w:fldChar w:fldCharType="separate"/>
      </w:r>
      <w:r>
        <w:fldChar w:fldCharType="begin"/>
      </w:r>
      <w:r>
        <w:instrText xml:space="preserve"> HYPERLINK \l "_Toc23130" </w:instrText>
      </w:r>
      <w:r>
        <w:fldChar w:fldCharType="separate"/>
      </w:r>
      <w:r>
        <w:rPr>
          <w:rFonts w:hint="eastAsia" w:asciiTheme="minorEastAsia" w:hAnsiTheme="minorEastAsia" w:eastAsiaTheme="minorEastAsia" w:cstheme="minorEastAsia"/>
          <w:bCs/>
          <w:szCs w:val="36"/>
        </w:rPr>
        <w:t>第一章  竞争性磋商公告</w:t>
      </w:r>
      <w:r>
        <w:rPr>
          <w:rFonts w:hint="eastAsia" w:asciiTheme="minorEastAsia" w:hAnsiTheme="minorEastAsia" w:eastAsiaTheme="minorEastAsia" w:cstheme="minorEastAsia"/>
          <w:bCs/>
          <w:szCs w:val="36"/>
        </w:rPr>
        <w:tab/>
      </w:r>
      <w:r>
        <w:rPr>
          <w:rFonts w:hint="eastAsia" w:asciiTheme="minorEastAsia" w:hAnsiTheme="minorEastAsia" w:eastAsiaTheme="minorEastAsia" w:cstheme="minorEastAsia"/>
          <w:bCs/>
          <w:szCs w:val="36"/>
        </w:rPr>
        <w:fldChar w:fldCharType="begin"/>
      </w:r>
      <w:r>
        <w:rPr>
          <w:rFonts w:hint="eastAsia" w:asciiTheme="minorEastAsia" w:hAnsiTheme="minorEastAsia" w:eastAsiaTheme="minorEastAsia" w:cstheme="minorEastAsia"/>
          <w:bCs/>
          <w:szCs w:val="36"/>
        </w:rPr>
        <w:instrText xml:space="preserve"> PAGEREF _Toc23130 \h </w:instrText>
      </w:r>
      <w:r>
        <w:rPr>
          <w:rFonts w:hint="eastAsia" w:asciiTheme="minorEastAsia" w:hAnsiTheme="minorEastAsia" w:eastAsiaTheme="minorEastAsia" w:cstheme="minorEastAsia"/>
          <w:bCs/>
          <w:szCs w:val="36"/>
        </w:rPr>
        <w:fldChar w:fldCharType="separate"/>
      </w:r>
      <w:r>
        <w:rPr>
          <w:rFonts w:hint="eastAsia" w:asciiTheme="minorEastAsia" w:hAnsiTheme="minorEastAsia" w:eastAsiaTheme="minorEastAsia" w:cstheme="minorEastAsia"/>
          <w:bCs/>
          <w:szCs w:val="36"/>
        </w:rPr>
        <w:t>1</w:t>
      </w:r>
      <w:r>
        <w:rPr>
          <w:rFonts w:hint="eastAsia" w:asciiTheme="minorEastAsia" w:hAnsiTheme="minorEastAsia" w:eastAsiaTheme="minorEastAsia" w:cstheme="minorEastAsia"/>
          <w:bCs/>
          <w:szCs w:val="36"/>
        </w:rPr>
        <w:fldChar w:fldCharType="end"/>
      </w:r>
      <w:r>
        <w:rPr>
          <w:rFonts w:hint="eastAsia" w:asciiTheme="minorEastAsia" w:hAnsiTheme="minorEastAsia" w:eastAsiaTheme="minorEastAsia" w:cstheme="minorEastAsia"/>
          <w:bCs/>
          <w:szCs w:val="36"/>
        </w:rPr>
        <w:fldChar w:fldCharType="end"/>
      </w:r>
    </w:p>
    <w:p>
      <w:pPr>
        <w:pStyle w:val="15"/>
        <w:tabs>
          <w:tab w:val="right" w:leader="dot" w:pos="8820"/>
        </w:tabs>
        <w:rPr>
          <w:rFonts w:asciiTheme="minorEastAsia" w:hAnsiTheme="minorEastAsia" w:eastAsiaTheme="minorEastAsia" w:cstheme="minorEastAsia"/>
          <w:bCs/>
          <w:szCs w:val="36"/>
        </w:rPr>
      </w:pPr>
      <w:r>
        <w:fldChar w:fldCharType="begin"/>
      </w:r>
      <w:r>
        <w:instrText xml:space="preserve"> HYPERLINK \l "_Toc9889" </w:instrText>
      </w:r>
      <w:r>
        <w:fldChar w:fldCharType="separate"/>
      </w:r>
      <w:r>
        <w:rPr>
          <w:rFonts w:hint="eastAsia" w:asciiTheme="minorEastAsia" w:hAnsiTheme="minorEastAsia" w:eastAsiaTheme="minorEastAsia" w:cstheme="minorEastAsia"/>
          <w:bCs/>
          <w:szCs w:val="36"/>
        </w:rPr>
        <w:t>第二章  供应商须知</w:t>
      </w:r>
      <w:r>
        <w:rPr>
          <w:rFonts w:hint="eastAsia" w:asciiTheme="minorEastAsia" w:hAnsiTheme="minorEastAsia" w:eastAsiaTheme="minorEastAsia" w:cstheme="minorEastAsia"/>
          <w:bCs/>
          <w:szCs w:val="36"/>
        </w:rPr>
        <w:tab/>
      </w:r>
      <w:r>
        <w:rPr>
          <w:rFonts w:hint="eastAsia" w:asciiTheme="minorEastAsia" w:hAnsiTheme="minorEastAsia" w:eastAsiaTheme="minorEastAsia" w:cstheme="minorEastAsia"/>
          <w:bCs/>
          <w:szCs w:val="36"/>
        </w:rPr>
        <w:fldChar w:fldCharType="begin"/>
      </w:r>
      <w:r>
        <w:rPr>
          <w:rFonts w:hint="eastAsia" w:asciiTheme="minorEastAsia" w:hAnsiTheme="minorEastAsia" w:eastAsiaTheme="minorEastAsia" w:cstheme="minorEastAsia"/>
          <w:bCs/>
          <w:szCs w:val="36"/>
        </w:rPr>
        <w:instrText xml:space="preserve"> PAGEREF _Toc9889 \h </w:instrText>
      </w:r>
      <w:r>
        <w:rPr>
          <w:rFonts w:hint="eastAsia" w:asciiTheme="minorEastAsia" w:hAnsiTheme="minorEastAsia" w:eastAsiaTheme="minorEastAsia" w:cstheme="minorEastAsia"/>
          <w:bCs/>
          <w:szCs w:val="36"/>
        </w:rPr>
        <w:fldChar w:fldCharType="separate"/>
      </w:r>
      <w:r>
        <w:rPr>
          <w:rFonts w:hint="eastAsia" w:asciiTheme="minorEastAsia" w:hAnsiTheme="minorEastAsia" w:eastAsiaTheme="minorEastAsia" w:cstheme="minorEastAsia"/>
          <w:bCs/>
          <w:szCs w:val="36"/>
        </w:rPr>
        <w:t>4</w:t>
      </w:r>
      <w:r>
        <w:rPr>
          <w:rFonts w:hint="eastAsia" w:asciiTheme="minorEastAsia" w:hAnsiTheme="minorEastAsia" w:eastAsiaTheme="minorEastAsia" w:cstheme="minorEastAsia"/>
          <w:bCs/>
          <w:szCs w:val="36"/>
        </w:rPr>
        <w:fldChar w:fldCharType="end"/>
      </w:r>
      <w:r>
        <w:rPr>
          <w:rFonts w:hint="eastAsia" w:asciiTheme="minorEastAsia" w:hAnsiTheme="minorEastAsia" w:eastAsiaTheme="minorEastAsia" w:cstheme="minorEastAsia"/>
          <w:bCs/>
          <w:szCs w:val="36"/>
        </w:rPr>
        <w:fldChar w:fldCharType="end"/>
      </w:r>
    </w:p>
    <w:p>
      <w:pPr>
        <w:pStyle w:val="15"/>
        <w:tabs>
          <w:tab w:val="right" w:leader="dot" w:pos="8820"/>
        </w:tabs>
        <w:rPr>
          <w:rFonts w:asciiTheme="minorEastAsia" w:hAnsiTheme="minorEastAsia" w:eastAsiaTheme="minorEastAsia" w:cstheme="minorEastAsia"/>
          <w:bCs/>
          <w:szCs w:val="36"/>
        </w:rPr>
      </w:pPr>
      <w:r>
        <w:fldChar w:fldCharType="begin"/>
      </w:r>
      <w:r>
        <w:instrText xml:space="preserve"> HYPERLINK \l "_Toc10823" </w:instrText>
      </w:r>
      <w:r>
        <w:fldChar w:fldCharType="separate"/>
      </w:r>
      <w:r>
        <w:rPr>
          <w:rFonts w:asciiTheme="minorEastAsia" w:hAnsiTheme="minorEastAsia" w:eastAsiaTheme="minorEastAsia" w:cstheme="minorEastAsia"/>
          <w:bCs/>
          <w:szCs w:val="36"/>
        </w:rPr>
        <w:t xml:space="preserve">第三章 </w:t>
      </w:r>
      <w:r>
        <w:rPr>
          <w:rFonts w:hint="eastAsia" w:asciiTheme="minorEastAsia" w:hAnsiTheme="minorEastAsia" w:eastAsiaTheme="minorEastAsia" w:cstheme="minorEastAsia"/>
          <w:bCs/>
          <w:szCs w:val="36"/>
        </w:rPr>
        <w:t xml:space="preserve"> 评审办法</w:t>
      </w:r>
      <w:r>
        <w:rPr>
          <w:rFonts w:hint="eastAsia" w:asciiTheme="minorEastAsia" w:hAnsiTheme="minorEastAsia" w:eastAsiaTheme="minorEastAsia" w:cstheme="minorEastAsia"/>
          <w:bCs/>
          <w:szCs w:val="36"/>
        </w:rPr>
        <w:tab/>
      </w:r>
      <w:r>
        <w:rPr>
          <w:rFonts w:hint="eastAsia" w:asciiTheme="minorEastAsia" w:hAnsiTheme="minorEastAsia" w:eastAsiaTheme="minorEastAsia" w:cstheme="minorEastAsia"/>
          <w:bCs/>
          <w:szCs w:val="36"/>
        </w:rPr>
        <w:fldChar w:fldCharType="begin"/>
      </w:r>
      <w:r>
        <w:rPr>
          <w:rFonts w:hint="eastAsia" w:asciiTheme="minorEastAsia" w:hAnsiTheme="minorEastAsia" w:eastAsiaTheme="minorEastAsia" w:cstheme="minorEastAsia"/>
          <w:bCs/>
          <w:szCs w:val="36"/>
        </w:rPr>
        <w:instrText xml:space="preserve"> PAGEREF _Toc10823 \h </w:instrText>
      </w:r>
      <w:r>
        <w:rPr>
          <w:rFonts w:hint="eastAsia" w:asciiTheme="minorEastAsia" w:hAnsiTheme="minorEastAsia" w:eastAsiaTheme="minorEastAsia" w:cstheme="minorEastAsia"/>
          <w:bCs/>
          <w:szCs w:val="36"/>
        </w:rPr>
        <w:fldChar w:fldCharType="separate"/>
      </w:r>
      <w:r>
        <w:rPr>
          <w:rFonts w:hint="eastAsia" w:asciiTheme="minorEastAsia" w:hAnsiTheme="minorEastAsia" w:eastAsiaTheme="minorEastAsia" w:cstheme="minorEastAsia"/>
          <w:bCs/>
          <w:szCs w:val="36"/>
        </w:rPr>
        <w:t>17</w:t>
      </w:r>
      <w:r>
        <w:rPr>
          <w:rFonts w:hint="eastAsia" w:asciiTheme="minorEastAsia" w:hAnsiTheme="minorEastAsia" w:eastAsiaTheme="minorEastAsia" w:cstheme="minorEastAsia"/>
          <w:bCs/>
          <w:szCs w:val="36"/>
        </w:rPr>
        <w:fldChar w:fldCharType="end"/>
      </w:r>
      <w:r>
        <w:rPr>
          <w:rFonts w:hint="eastAsia" w:asciiTheme="minorEastAsia" w:hAnsiTheme="minorEastAsia" w:eastAsiaTheme="minorEastAsia" w:cstheme="minorEastAsia"/>
          <w:bCs/>
          <w:szCs w:val="36"/>
        </w:rPr>
        <w:fldChar w:fldCharType="end"/>
      </w:r>
    </w:p>
    <w:p>
      <w:pPr>
        <w:pStyle w:val="15"/>
        <w:tabs>
          <w:tab w:val="right" w:leader="dot" w:pos="8820"/>
        </w:tabs>
        <w:rPr>
          <w:rFonts w:asciiTheme="minorEastAsia" w:hAnsiTheme="minorEastAsia" w:eastAsiaTheme="minorEastAsia" w:cstheme="minorEastAsia"/>
          <w:bCs/>
          <w:szCs w:val="36"/>
        </w:rPr>
      </w:pPr>
      <w:r>
        <w:fldChar w:fldCharType="begin"/>
      </w:r>
      <w:r>
        <w:instrText xml:space="preserve"> HYPERLINK \l "_Toc3923" </w:instrText>
      </w:r>
      <w:r>
        <w:fldChar w:fldCharType="separate"/>
      </w:r>
      <w:r>
        <w:rPr>
          <w:rFonts w:hint="eastAsia" w:asciiTheme="minorEastAsia" w:hAnsiTheme="minorEastAsia" w:eastAsiaTheme="minorEastAsia" w:cstheme="minorEastAsia"/>
          <w:bCs/>
          <w:szCs w:val="36"/>
        </w:rPr>
        <w:t>第四章  合同条款及格式</w:t>
      </w:r>
      <w:r>
        <w:rPr>
          <w:rFonts w:hint="eastAsia" w:asciiTheme="minorEastAsia" w:hAnsiTheme="minorEastAsia" w:eastAsiaTheme="minorEastAsia" w:cstheme="minorEastAsia"/>
          <w:bCs/>
          <w:szCs w:val="36"/>
        </w:rPr>
        <w:tab/>
      </w:r>
      <w:r>
        <w:rPr>
          <w:rFonts w:hint="eastAsia" w:asciiTheme="minorEastAsia" w:hAnsiTheme="minorEastAsia" w:eastAsiaTheme="minorEastAsia" w:cstheme="minorEastAsia"/>
          <w:bCs/>
          <w:szCs w:val="36"/>
        </w:rPr>
        <w:fldChar w:fldCharType="begin"/>
      </w:r>
      <w:r>
        <w:rPr>
          <w:rFonts w:hint="eastAsia" w:asciiTheme="minorEastAsia" w:hAnsiTheme="minorEastAsia" w:eastAsiaTheme="minorEastAsia" w:cstheme="minorEastAsia"/>
          <w:bCs/>
          <w:szCs w:val="36"/>
        </w:rPr>
        <w:instrText xml:space="preserve"> PAGEREF _Toc3923 \h </w:instrText>
      </w:r>
      <w:r>
        <w:rPr>
          <w:rFonts w:hint="eastAsia" w:asciiTheme="minorEastAsia" w:hAnsiTheme="minorEastAsia" w:eastAsiaTheme="minorEastAsia" w:cstheme="minorEastAsia"/>
          <w:bCs/>
          <w:szCs w:val="36"/>
        </w:rPr>
        <w:fldChar w:fldCharType="separate"/>
      </w:r>
      <w:r>
        <w:rPr>
          <w:rFonts w:hint="eastAsia" w:asciiTheme="minorEastAsia" w:hAnsiTheme="minorEastAsia" w:eastAsiaTheme="minorEastAsia" w:cstheme="minorEastAsia"/>
          <w:bCs/>
          <w:szCs w:val="36"/>
        </w:rPr>
        <w:t>22</w:t>
      </w:r>
      <w:r>
        <w:rPr>
          <w:rFonts w:hint="eastAsia" w:asciiTheme="minorEastAsia" w:hAnsiTheme="minorEastAsia" w:eastAsiaTheme="minorEastAsia" w:cstheme="minorEastAsia"/>
          <w:bCs/>
          <w:szCs w:val="36"/>
        </w:rPr>
        <w:fldChar w:fldCharType="end"/>
      </w:r>
      <w:r>
        <w:rPr>
          <w:rFonts w:hint="eastAsia" w:asciiTheme="minorEastAsia" w:hAnsiTheme="minorEastAsia" w:eastAsiaTheme="minorEastAsia" w:cstheme="minorEastAsia"/>
          <w:bCs/>
          <w:szCs w:val="36"/>
        </w:rPr>
        <w:fldChar w:fldCharType="end"/>
      </w:r>
    </w:p>
    <w:p>
      <w:pPr>
        <w:pStyle w:val="15"/>
        <w:tabs>
          <w:tab w:val="right" w:leader="dot" w:pos="8820"/>
        </w:tabs>
        <w:rPr>
          <w:rFonts w:asciiTheme="minorEastAsia" w:hAnsiTheme="minorEastAsia" w:eastAsiaTheme="minorEastAsia" w:cstheme="minorEastAsia"/>
          <w:bCs/>
          <w:szCs w:val="36"/>
        </w:rPr>
      </w:pPr>
      <w:r>
        <w:fldChar w:fldCharType="begin"/>
      </w:r>
      <w:r>
        <w:instrText xml:space="preserve"> HYPERLINK \l "_Toc21479" </w:instrText>
      </w:r>
      <w:r>
        <w:fldChar w:fldCharType="separate"/>
      </w:r>
      <w:r>
        <w:rPr>
          <w:rFonts w:hint="eastAsia" w:asciiTheme="minorEastAsia" w:hAnsiTheme="minorEastAsia" w:eastAsiaTheme="minorEastAsia" w:cstheme="minorEastAsia"/>
          <w:bCs/>
          <w:szCs w:val="36"/>
        </w:rPr>
        <w:t>第五章  工程量清单</w:t>
      </w:r>
      <w:r>
        <w:rPr>
          <w:rFonts w:hint="eastAsia" w:asciiTheme="minorEastAsia" w:hAnsiTheme="minorEastAsia" w:eastAsiaTheme="minorEastAsia" w:cstheme="minorEastAsia"/>
          <w:bCs/>
          <w:szCs w:val="36"/>
        </w:rPr>
        <w:tab/>
      </w:r>
      <w:r>
        <w:rPr>
          <w:rFonts w:hint="eastAsia" w:asciiTheme="minorEastAsia" w:hAnsiTheme="minorEastAsia" w:eastAsiaTheme="minorEastAsia" w:cstheme="minorEastAsia"/>
          <w:bCs/>
          <w:szCs w:val="36"/>
        </w:rPr>
        <w:fldChar w:fldCharType="begin"/>
      </w:r>
      <w:r>
        <w:rPr>
          <w:rFonts w:hint="eastAsia" w:asciiTheme="minorEastAsia" w:hAnsiTheme="minorEastAsia" w:eastAsiaTheme="minorEastAsia" w:cstheme="minorEastAsia"/>
          <w:bCs/>
          <w:szCs w:val="36"/>
        </w:rPr>
        <w:instrText xml:space="preserve"> PAGEREF _Toc21479 \h </w:instrText>
      </w:r>
      <w:r>
        <w:rPr>
          <w:rFonts w:hint="eastAsia" w:asciiTheme="minorEastAsia" w:hAnsiTheme="minorEastAsia" w:eastAsiaTheme="minorEastAsia" w:cstheme="minorEastAsia"/>
          <w:bCs/>
          <w:szCs w:val="36"/>
        </w:rPr>
        <w:fldChar w:fldCharType="separate"/>
      </w:r>
      <w:r>
        <w:rPr>
          <w:rFonts w:hint="eastAsia" w:asciiTheme="minorEastAsia" w:hAnsiTheme="minorEastAsia" w:eastAsiaTheme="minorEastAsia" w:cstheme="minorEastAsia"/>
          <w:bCs/>
          <w:szCs w:val="36"/>
        </w:rPr>
        <w:t>52</w:t>
      </w:r>
      <w:r>
        <w:rPr>
          <w:rFonts w:hint="eastAsia" w:asciiTheme="minorEastAsia" w:hAnsiTheme="minorEastAsia" w:eastAsiaTheme="minorEastAsia" w:cstheme="minorEastAsia"/>
          <w:bCs/>
          <w:szCs w:val="36"/>
        </w:rPr>
        <w:fldChar w:fldCharType="end"/>
      </w:r>
      <w:r>
        <w:rPr>
          <w:rFonts w:hint="eastAsia" w:asciiTheme="minorEastAsia" w:hAnsiTheme="minorEastAsia" w:eastAsiaTheme="minorEastAsia" w:cstheme="minorEastAsia"/>
          <w:bCs/>
          <w:szCs w:val="36"/>
        </w:rPr>
        <w:fldChar w:fldCharType="end"/>
      </w:r>
    </w:p>
    <w:p>
      <w:pPr>
        <w:pStyle w:val="15"/>
        <w:tabs>
          <w:tab w:val="right" w:leader="dot" w:pos="8820"/>
        </w:tabs>
        <w:rPr>
          <w:rFonts w:asciiTheme="minorEastAsia" w:hAnsiTheme="minorEastAsia" w:eastAsiaTheme="minorEastAsia" w:cstheme="minorEastAsia"/>
          <w:bCs/>
          <w:szCs w:val="36"/>
        </w:rPr>
      </w:pPr>
      <w:r>
        <w:fldChar w:fldCharType="begin"/>
      </w:r>
      <w:r>
        <w:instrText xml:space="preserve"> HYPERLINK \l "_Toc20397" </w:instrText>
      </w:r>
      <w:r>
        <w:fldChar w:fldCharType="separate"/>
      </w:r>
      <w:r>
        <w:rPr>
          <w:rFonts w:hint="eastAsia" w:asciiTheme="minorEastAsia" w:hAnsiTheme="minorEastAsia" w:eastAsiaTheme="minorEastAsia" w:cstheme="minorEastAsia"/>
          <w:bCs/>
          <w:szCs w:val="36"/>
        </w:rPr>
        <w:t>第六章  响应文件格式</w:t>
      </w:r>
      <w:r>
        <w:rPr>
          <w:rFonts w:hint="eastAsia" w:asciiTheme="minorEastAsia" w:hAnsiTheme="minorEastAsia" w:eastAsiaTheme="minorEastAsia" w:cstheme="minorEastAsia"/>
          <w:bCs/>
          <w:szCs w:val="36"/>
        </w:rPr>
        <w:tab/>
      </w:r>
      <w:r>
        <w:rPr>
          <w:rFonts w:hint="eastAsia" w:asciiTheme="minorEastAsia" w:hAnsiTheme="minorEastAsia" w:eastAsiaTheme="minorEastAsia" w:cstheme="minorEastAsia"/>
          <w:bCs/>
          <w:szCs w:val="36"/>
        </w:rPr>
        <w:fldChar w:fldCharType="begin"/>
      </w:r>
      <w:r>
        <w:rPr>
          <w:rFonts w:hint="eastAsia" w:asciiTheme="minorEastAsia" w:hAnsiTheme="minorEastAsia" w:eastAsiaTheme="minorEastAsia" w:cstheme="minorEastAsia"/>
          <w:bCs/>
          <w:szCs w:val="36"/>
        </w:rPr>
        <w:instrText xml:space="preserve"> PAGEREF _Toc20397 \h </w:instrText>
      </w:r>
      <w:r>
        <w:rPr>
          <w:rFonts w:hint="eastAsia" w:asciiTheme="minorEastAsia" w:hAnsiTheme="minorEastAsia" w:eastAsiaTheme="minorEastAsia" w:cstheme="minorEastAsia"/>
          <w:bCs/>
          <w:szCs w:val="36"/>
        </w:rPr>
        <w:fldChar w:fldCharType="separate"/>
      </w:r>
      <w:r>
        <w:rPr>
          <w:rFonts w:hint="eastAsia" w:asciiTheme="minorEastAsia" w:hAnsiTheme="minorEastAsia" w:eastAsiaTheme="minorEastAsia" w:cstheme="minorEastAsia"/>
          <w:bCs/>
          <w:szCs w:val="36"/>
        </w:rPr>
        <w:t>58</w:t>
      </w:r>
      <w:r>
        <w:rPr>
          <w:rFonts w:hint="eastAsia" w:asciiTheme="minorEastAsia" w:hAnsiTheme="minorEastAsia" w:eastAsiaTheme="minorEastAsia" w:cstheme="minorEastAsia"/>
          <w:bCs/>
          <w:szCs w:val="36"/>
        </w:rPr>
        <w:fldChar w:fldCharType="end"/>
      </w:r>
      <w:r>
        <w:rPr>
          <w:rFonts w:hint="eastAsia" w:asciiTheme="minorEastAsia" w:hAnsiTheme="minorEastAsia" w:eastAsiaTheme="minorEastAsia" w:cstheme="minorEastAsia"/>
          <w:bCs/>
          <w:szCs w:val="36"/>
        </w:rPr>
        <w:fldChar w:fldCharType="end"/>
      </w:r>
    </w:p>
    <w:p>
      <w:pPr>
        <w:pStyle w:val="15"/>
        <w:tabs>
          <w:tab w:val="right" w:leader="dot" w:pos="8820"/>
        </w:tabs>
        <w:rPr>
          <w:rFonts w:asciiTheme="minorEastAsia" w:hAnsiTheme="minorEastAsia" w:eastAsiaTheme="minorEastAsia" w:cstheme="minorEastAsia"/>
          <w:bCs/>
          <w:szCs w:val="36"/>
        </w:rPr>
      </w:pPr>
      <w:r>
        <w:fldChar w:fldCharType="begin"/>
      </w:r>
      <w:r>
        <w:instrText xml:space="preserve"> HYPERLINK \l "_Toc8535" </w:instrText>
      </w:r>
      <w:r>
        <w:fldChar w:fldCharType="separate"/>
      </w:r>
      <w:r>
        <w:rPr>
          <w:rFonts w:hint="eastAsia" w:asciiTheme="minorEastAsia" w:hAnsiTheme="minorEastAsia" w:eastAsiaTheme="minorEastAsia" w:cstheme="minorEastAsia"/>
          <w:bCs/>
          <w:szCs w:val="36"/>
        </w:rPr>
        <w:t>第七章  图纸</w:t>
      </w:r>
      <w:r>
        <w:rPr>
          <w:rFonts w:hint="eastAsia" w:asciiTheme="minorEastAsia" w:hAnsiTheme="minorEastAsia" w:eastAsiaTheme="minorEastAsia" w:cstheme="minorEastAsia"/>
          <w:bCs/>
          <w:szCs w:val="36"/>
        </w:rPr>
        <w:tab/>
      </w:r>
      <w:r>
        <w:rPr>
          <w:rFonts w:hint="eastAsia" w:asciiTheme="minorEastAsia" w:hAnsiTheme="minorEastAsia" w:eastAsiaTheme="minorEastAsia" w:cstheme="minorEastAsia"/>
          <w:bCs/>
          <w:szCs w:val="36"/>
        </w:rPr>
        <w:fldChar w:fldCharType="begin"/>
      </w:r>
      <w:r>
        <w:rPr>
          <w:rFonts w:hint="eastAsia" w:asciiTheme="minorEastAsia" w:hAnsiTheme="minorEastAsia" w:eastAsiaTheme="minorEastAsia" w:cstheme="minorEastAsia"/>
          <w:bCs/>
          <w:szCs w:val="36"/>
        </w:rPr>
        <w:instrText xml:space="preserve"> PAGEREF _Toc8535 \h </w:instrText>
      </w:r>
      <w:r>
        <w:rPr>
          <w:rFonts w:hint="eastAsia" w:asciiTheme="minorEastAsia" w:hAnsiTheme="minorEastAsia" w:eastAsiaTheme="minorEastAsia" w:cstheme="minorEastAsia"/>
          <w:bCs/>
          <w:szCs w:val="36"/>
        </w:rPr>
        <w:fldChar w:fldCharType="separate"/>
      </w:r>
      <w:r>
        <w:rPr>
          <w:rFonts w:hint="eastAsia" w:asciiTheme="minorEastAsia" w:hAnsiTheme="minorEastAsia" w:eastAsiaTheme="minorEastAsia" w:cstheme="minorEastAsia"/>
          <w:bCs/>
          <w:szCs w:val="36"/>
        </w:rPr>
        <w:t>82</w:t>
      </w:r>
      <w:r>
        <w:rPr>
          <w:rFonts w:hint="eastAsia" w:asciiTheme="minorEastAsia" w:hAnsiTheme="minorEastAsia" w:eastAsiaTheme="minorEastAsia" w:cstheme="minorEastAsia"/>
          <w:bCs/>
          <w:szCs w:val="36"/>
        </w:rPr>
        <w:fldChar w:fldCharType="end"/>
      </w:r>
      <w:r>
        <w:rPr>
          <w:rFonts w:hint="eastAsia" w:asciiTheme="minorEastAsia" w:hAnsiTheme="minorEastAsia" w:eastAsiaTheme="minorEastAsia" w:cstheme="minorEastAsia"/>
          <w:bCs/>
          <w:szCs w:val="36"/>
        </w:rPr>
        <w:fldChar w:fldCharType="end"/>
      </w:r>
    </w:p>
    <w:p>
      <w:pPr>
        <w:pStyle w:val="15"/>
        <w:tabs>
          <w:tab w:val="right" w:leader="dot" w:pos="8820"/>
        </w:tabs>
        <w:rPr>
          <w:rFonts w:asciiTheme="minorEastAsia" w:hAnsiTheme="minorEastAsia" w:eastAsiaTheme="minorEastAsia" w:cstheme="minorEastAsia"/>
          <w:bCs/>
          <w:szCs w:val="36"/>
        </w:rPr>
      </w:pPr>
      <w:r>
        <w:fldChar w:fldCharType="begin"/>
      </w:r>
      <w:r>
        <w:instrText xml:space="preserve"> HYPERLINK \l "_Toc29815" </w:instrText>
      </w:r>
      <w:r>
        <w:fldChar w:fldCharType="separate"/>
      </w:r>
      <w:r>
        <w:rPr>
          <w:rFonts w:hint="eastAsia" w:asciiTheme="minorEastAsia" w:hAnsiTheme="minorEastAsia" w:eastAsiaTheme="minorEastAsia" w:cstheme="minorEastAsia"/>
          <w:bCs/>
          <w:szCs w:val="36"/>
        </w:rPr>
        <w:t>第八章  技术标准和要求</w:t>
      </w:r>
      <w:r>
        <w:rPr>
          <w:rFonts w:hint="eastAsia" w:asciiTheme="minorEastAsia" w:hAnsiTheme="minorEastAsia" w:eastAsiaTheme="minorEastAsia" w:cstheme="minorEastAsia"/>
          <w:bCs/>
          <w:szCs w:val="36"/>
        </w:rPr>
        <w:tab/>
      </w:r>
      <w:r>
        <w:rPr>
          <w:rFonts w:hint="eastAsia" w:asciiTheme="minorEastAsia" w:hAnsiTheme="minorEastAsia" w:eastAsiaTheme="minorEastAsia" w:cstheme="minorEastAsia"/>
          <w:bCs/>
          <w:szCs w:val="36"/>
        </w:rPr>
        <w:fldChar w:fldCharType="begin"/>
      </w:r>
      <w:r>
        <w:rPr>
          <w:rFonts w:hint="eastAsia" w:asciiTheme="minorEastAsia" w:hAnsiTheme="minorEastAsia" w:eastAsiaTheme="minorEastAsia" w:cstheme="minorEastAsia"/>
          <w:bCs/>
          <w:szCs w:val="36"/>
        </w:rPr>
        <w:instrText xml:space="preserve"> PAGEREF _Toc29815 \h </w:instrText>
      </w:r>
      <w:r>
        <w:rPr>
          <w:rFonts w:hint="eastAsia" w:asciiTheme="minorEastAsia" w:hAnsiTheme="minorEastAsia" w:eastAsiaTheme="minorEastAsia" w:cstheme="minorEastAsia"/>
          <w:bCs/>
          <w:szCs w:val="36"/>
        </w:rPr>
        <w:fldChar w:fldCharType="separate"/>
      </w:r>
      <w:r>
        <w:rPr>
          <w:rFonts w:hint="eastAsia" w:asciiTheme="minorEastAsia" w:hAnsiTheme="minorEastAsia" w:eastAsiaTheme="minorEastAsia" w:cstheme="minorEastAsia"/>
          <w:bCs/>
          <w:szCs w:val="36"/>
        </w:rPr>
        <w:t>83</w:t>
      </w:r>
      <w:r>
        <w:rPr>
          <w:rFonts w:hint="eastAsia" w:asciiTheme="minorEastAsia" w:hAnsiTheme="minorEastAsia" w:eastAsiaTheme="minorEastAsia" w:cstheme="minorEastAsia"/>
          <w:bCs/>
          <w:szCs w:val="36"/>
        </w:rPr>
        <w:fldChar w:fldCharType="end"/>
      </w:r>
      <w:r>
        <w:rPr>
          <w:rFonts w:hint="eastAsia" w:asciiTheme="minorEastAsia" w:hAnsiTheme="minorEastAsia" w:eastAsiaTheme="minorEastAsia" w:cstheme="minorEastAsia"/>
          <w:bCs/>
          <w:szCs w:val="36"/>
        </w:rPr>
        <w:fldChar w:fldCharType="end"/>
      </w:r>
    </w:p>
    <w:p>
      <w:pPr>
        <w:pStyle w:val="15"/>
        <w:tabs>
          <w:tab w:val="right" w:leader="dot" w:pos="8820"/>
        </w:tabs>
        <w:rPr>
          <w:rFonts w:asciiTheme="minorEastAsia" w:hAnsiTheme="minorEastAsia" w:eastAsiaTheme="minorEastAsia" w:cstheme="minorEastAsia"/>
          <w:bCs/>
          <w:szCs w:val="36"/>
        </w:rPr>
      </w:pPr>
      <w:r>
        <w:rPr>
          <w:rFonts w:hint="eastAsia" w:asciiTheme="minorEastAsia" w:hAnsiTheme="minorEastAsia" w:eastAsiaTheme="minorEastAsia" w:cstheme="minorEastAsia"/>
          <w:bCs/>
          <w:szCs w:val="36"/>
        </w:rPr>
        <w:fldChar w:fldCharType="end"/>
      </w:r>
    </w:p>
    <w:p>
      <w:pPr>
        <w:pStyle w:val="3"/>
        <w:rPr>
          <w:rFonts w:ascii="黑体" w:hAnsi="黑体" w:cs="黑体"/>
          <w:szCs w:val="30"/>
        </w:rPr>
        <w:sectPr>
          <w:footerReference r:id="rId5" w:type="default"/>
          <w:pgSz w:w="11906" w:h="16838"/>
          <w:pgMar w:top="1418" w:right="1555" w:bottom="1418" w:left="1531" w:header="851" w:footer="992" w:gutter="0"/>
          <w:pgNumType w:start="1"/>
          <w:cols w:space="720" w:num="1"/>
          <w:docGrid w:type="lines" w:linePitch="312" w:charSpace="0"/>
        </w:sectPr>
      </w:pPr>
      <w:bookmarkStart w:id="3" w:name="_Toc23130"/>
    </w:p>
    <w:p>
      <w:pPr>
        <w:pStyle w:val="3"/>
        <w:rPr>
          <w:rFonts w:ascii="黑体" w:hAnsi="黑体" w:cs="黑体"/>
          <w:bCs/>
          <w:szCs w:val="30"/>
        </w:rPr>
      </w:pPr>
      <w:r>
        <w:rPr>
          <w:rFonts w:hint="eastAsia" w:ascii="黑体" w:hAnsi="黑体" w:cs="黑体"/>
          <w:szCs w:val="30"/>
        </w:rPr>
        <w:t xml:space="preserve">第一章  </w:t>
      </w:r>
      <w:bookmarkEnd w:id="0"/>
      <w:bookmarkEnd w:id="1"/>
      <w:bookmarkEnd w:id="2"/>
      <w:r>
        <w:rPr>
          <w:rFonts w:hint="eastAsia" w:ascii="黑体" w:hAnsi="黑体" w:cs="黑体"/>
          <w:szCs w:val="30"/>
        </w:rPr>
        <w:t>竞争性磋商公告</w:t>
      </w:r>
      <w:bookmarkEnd w:id="3"/>
    </w:p>
    <w:p>
      <w:pPr>
        <w:ind w:firstLine="420" w:firstLineChars="200"/>
        <w:jc w:val="center"/>
        <w:rPr>
          <w:rFonts w:ascii="宋体" w:hAnsi="宋体" w:cs="宋体"/>
          <w:szCs w:val="21"/>
        </w:rPr>
      </w:pPr>
      <w:bookmarkStart w:id="4" w:name="_Toc354060214"/>
      <w:r>
        <w:rPr>
          <w:rFonts w:hint="eastAsia" w:ascii="宋体" w:hAnsi="宋体" w:cs="宋体"/>
          <w:bCs/>
          <w:szCs w:val="21"/>
        </w:rPr>
        <w:t>（上海市宝山区人民政府门户网站：www.shbsq.gov.cn）</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根据《中华人民共和国政府采购法》及相关法律、法规之规定，上海熙运工程咨询有限公司受上海市宝山区</w:t>
      </w:r>
      <w:r>
        <w:rPr>
          <w:rFonts w:hint="eastAsia"/>
          <w:sz w:val="21"/>
          <w:szCs w:val="21"/>
          <w:shd w:val="clear" w:color="auto" w:fill="FFFFFF"/>
          <w:lang w:val="en-US" w:eastAsia="zh-CN"/>
        </w:rPr>
        <w:t>月浦镇</w:t>
      </w:r>
      <w:r>
        <w:rPr>
          <w:rFonts w:hint="eastAsia"/>
          <w:sz w:val="21"/>
          <w:szCs w:val="21"/>
          <w:shd w:val="clear" w:color="auto" w:fill="FFFFFF"/>
        </w:rPr>
        <w:t>人民政府委托，对</w:t>
      </w:r>
      <w:r>
        <w:rPr>
          <w:rFonts w:hint="eastAsia"/>
          <w:sz w:val="21"/>
          <w:szCs w:val="21"/>
          <w:shd w:val="clear" w:color="auto" w:fill="FFFFFF"/>
          <w:lang w:val="en-US" w:eastAsia="zh-CN"/>
        </w:rPr>
        <w:t>月浦镇段泾村土地整理复垦项目（沪宝耕立【2021】0007号）</w:t>
      </w:r>
      <w:r>
        <w:rPr>
          <w:rFonts w:hint="eastAsia"/>
          <w:sz w:val="21"/>
          <w:szCs w:val="21"/>
          <w:shd w:val="clear" w:color="auto" w:fill="FFFFFF"/>
        </w:rPr>
        <w:t>进行国内竞争性磋商采购，特邀请合格的供应商参加磋商。</w:t>
      </w:r>
    </w:p>
    <w:p>
      <w:pPr>
        <w:pStyle w:val="17"/>
        <w:shd w:val="clear" w:color="auto" w:fill="FFFFFF"/>
        <w:spacing w:beforeAutospacing="0" w:after="300" w:afterAutospacing="0" w:line="360" w:lineRule="atLeast"/>
        <w:ind w:firstLine="420"/>
        <w:rPr>
          <w:sz w:val="21"/>
          <w:szCs w:val="21"/>
        </w:rPr>
      </w:pPr>
      <w:r>
        <w:rPr>
          <w:rStyle w:val="23"/>
          <w:rFonts w:hint="eastAsia"/>
          <w:b/>
          <w:bCs/>
          <w:szCs w:val="21"/>
          <w:shd w:val="clear" w:color="auto" w:fill="FFFFFF"/>
        </w:rPr>
        <w:t>一、合格的供应商必须具备以下条件</w:t>
      </w:r>
    </w:p>
    <w:p>
      <w:pPr>
        <w:pStyle w:val="17"/>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1、符合《中华人民共和国政府采购法》第二十二条规定的供应商。</w:t>
      </w:r>
    </w:p>
    <w:p>
      <w:pPr>
        <w:pStyle w:val="17"/>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2、根据《上海市政府采购供应商登记及诚信管理办法》已登记入库的供应商。</w:t>
      </w:r>
    </w:p>
    <w:p>
      <w:pPr>
        <w:pStyle w:val="17"/>
        <w:shd w:val="clear" w:color="auto" w:fill="FFFFFF"/>
        <w:spacing w:beforeAutospacing="0" w:after="300" w:afterAutospacing="0" w:line="360" w:lineRule="atLeast"/>
        <w:ind w:firstLine="420"/>
        <w:rPr>
          <w:rFonts w:hint="eastAsia"/>
          <w:sz w:val="21"/>
          <w:szCs w:val="21"/>
          <w:shd w:val="clear" w:color="auto" w:fill="FFFFFF"/>
        </w:rPr>
      </w:pPr>
      <w:r>
        <w:rPr>
          <w:rFonts w:hint="eastAsia"/>
          <w:sz w:val="21"/>
          <w:szCs w:val="21"/>
          <w:shd w:val="clear" w:color="auto" w:fill="FFFFFF"/>
        </w:rPr>
        <w:t>3、其他资格要求：</w:t>
      </w:r>
    </w:p>
    <w:p>
      <w:pPr>
        <w:pStyle w:val="17"/>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（1）未被列入“信用中国”失信被执行人、重大税收违法案件当事人、政府采购不良行为记录名单内；未被列入“中国政府采购网”政府采购严重为违法失信行为记录名单内；</w:t>
      </w:r>
    </w:p>
    <w:p>
      <w:pPr>
        <w:pStyle w:val="17"/>
        <w:shd w:val="clear" w:color="auto" w:fill="FFFFFF"/>
        <w:spacing w:beforeAutospacing="0" w:after="300" w:afterAutospacing="0" w:line="360" w:lineRule="atLeast"/>
        <w:ind w:firstLine="420"/>
        <w:rPr>
          <w:rFonts w:hint="eastAsia"/>
          <w:sz w:val="21"/>
          <w:szCs w:val="21"/>
          <w:shd w:val="clear" w:color="auto" w:fill="FFFFFF"/>
        </w:rPr>
      </w:pPr>
      <w:r>
        <w:rPr>
          <w:rFonts w:hint="eastAsia"/>
          <w:sz w:val="21"/>
          <w:szCs w:val="21"/>
          <w:shd w:val="clear" w:color="auto" w:fill="FFFFFF"/>
        </w:rPr>
        <w:t>（2）本项目接受联合体；</w:t>
      </w:r>
    </w:p>
    <w:p>
      <w:pPr>
        <w:pStyle w:val="17"/>
        <w:shd w:val="clear" w:color="auto" w:fill="FFFFFF"/>
        <w:spacing w:beforeAutospacing="0" w:after="300" w:afterAutospacing="0" w:line="360" w:lineRule="atLeast"/>
        <w:ind w:firstLine="420"/>
        <w:rPr>
          <w:rFonts w:hint="eastAsia"/>
          <w:sz w:val="21"/>
          <w:szCs w:val="21"/>
          <w:shd w:val="clear" w:color="auto" w:fill="FFFFFF"/>
          <w:lang w:eastAsia="zh-CN"/>
        </w:rPr>
      </w:pPr>
      <w:r>
        <w:rPr>
          <w:rFonts w:hint="eastAsia"/>
          <w:sz w:val="21"/>
          <w:szCs w:val="21"/>
          <w:shd w:val="clear" w:color="auto" w:fill="FFFFFF"/>
        </w:rPr>
        <w:t>（</w:t>
      </w:r>
      <w:r>
        <w:rPr>
          <w:rFonts w:hint="eastAsia"/>
          <w:sz w:val="21"/>
          <w:szCs w:val="21"/>
          <w:shd w:val="clear" w:color="auto" w:fill="FFFFFF"/>
          <w:lang w:val="en-US" w:eastAsia="zh-CN"/>
        </w:rPr>
        <w:t>3</w:t>
      </w:r>
      <w:r>
        <w:rPr>
          <w:rFonts w:hint="eastAsia"/>
          <w:sz w:val="21"/>
          <w:szCs w:val="21"/>
          <w:shd w:val="clear" w:color="auto" w:fill="FFFFFF"/>
        </w:rPr>
        <w:t>）本项目面向大、中、小、微型等各类供应商采购</w:t>
      </w:r>
      <w:r>
        <w:rPr>
          <w:rFonts w:hint="eastAsia"/>
          <w:sz w:val="21"/>
          <w:szCs w:val="21"/>
          <w:shd w:val="clear" w:color="auto" w:fill="FFFFFF"/>
          <w:lang w:eastAsia="zh-CN"/>
        </w:rPr>
        <w:t>；</w:t>
      </w:r>
    </w:p>
    <w:p>
      <w:pPr>
        <w:pStyle w:val="17"/>
        <w:shd w:val="clear" w:color="auto" w:fill="FFFFFF"/>
        <w:spacing w:beforeAutospacing="0" w:after="300" w:afterAutospacing="0" w:line="360" w:lineRule="atLeast"/>
        <w:ind w:firstLine="420"/>
        <w:rPr>
          <w:rFonts w:hint="eastAsia"/>
          <w:sz w:val="21"/>
          <w:szCs w:val="21"/>
          <w:shd w:val="clear" w:color="auto" w:fill="FFFFFF"/>
          <w:lang w:eastAsia="zh-CN"/>
        </w:rPr>
      </w:pPr>
      <w:r>
        <w:rPr>
          <w:rFonts w:hint="eastAsia"/>
          <w:sz w:val="21"/>
          <w:szCs w:val="21"/>
          <w:shd w:val="clear" w:color="auto" w:fill="FFFFFF"/>
        </w:rPr>
        <w:t>（</w:t>
      </w:r>
      <w:r>
        <w:rPr>
          <w:rFonts w:hint="eastAsia"/>
          <w:sz w:val="21"/>
          <w:szCs w:val="21"/>
          <w:shd w:val="clear" w:color="auto" w:fill="FFFFFF"/>
          <w:lang w:val="en-US" w:eastAsia="zh-CN"/>
        </w:rPr>
        <w:t>4</w:t>
      </w:r>
      <w:r>
        <w:rPr>
          <w:rFonts w:hint="eastAsia"/>
          <w:sz w:val="21"/>
          <w:szCs w:val="21"/>
          <w:shd w:val="clear" w:color="auto" w:fill="FFFFFF"/>
        </w:rPr>
        <w:t>）投标人须在宝山区具有合法的</w:t>
      </w:r>
      <w:r>
        <w:rPr>
          <w:rFonts w:hint="eastAsia"/>
          <w:sz w:val="21"/>
          <w:szCs w:val="21"/>
          <w:shd w:val="clear" w:color="auto" w:fill="FFFFFF"/>
          <w:lang w:eastAsia="zh-CN"/>
        </w:rPr>
        <w:t>建筑垃圾</w:t>
      </w:r>
      <w:r>
        <w:rPr>
          <w:rFonts w:hint="eastAsia"/>
          <w:sz w:val="21"/>
          <w:szCs w:val="21"/>
          <w:shd w:val="clear" w:color="auto" w:fill="FFFFFF"/>
        </w:rPr>
        <w:t>处置点</w:t>
      </w:r>
      <w:r>
        <w:rPr>
          <w:rFonts w:hint="eastAsia"/>
          <w:sz w:val="21"/>
          <w:szCs w:val="21"/>
          <w:shd w:val="clear" w:color="auto" w:fill="FFFFFF"/>
          <w:lang w:eastAsia="zh-CN"/>
        </w:rPr>
        <w:t>；</w:t>
      </w:r>
    </w:p>
    <w:p>
      <w:pPr>
        <w:pStyle w:val="17"/>
        <w:shd w:val="clear" w:color="auto" w:fill="FFFFFF"/>
        <w:spacing w:beforeAutospacing="0" w:after="300" w:afterAutospacing="0" w:line="360" w:lineRule="atLeast"/>
        <w:ind w:firstLine="420"/>
        <w:rPr>
          <w:rFonts w:hint="eastAsia"/>
          <w:sz w:val="21"/>
          <w:szCs w:val="21"/>
          <w:shd w:val="clear" w:color="auto" w:fill="FFFFFF"/>
        </w:rPr>
      </w:pPr>
      <w:r>
        <w:rPr>
          <w:rFonts w:hint="eastAsia"/>
          <w:sz w:val="21"/>
          <w:szCs w:val="21"/>
          <w:shd w:val="clear" w:color="auto" w:fill="FFFFFF"/>
          <w:lang w:eastAsia="zh-CN"/>
        </w:rPr>
        <w:t>（</w:t>
      </w:r>
      <w:r>
        <w:rPr>
          <w:rFonts w:hint="eastAsia"/>
          <w:sz w:val="21"/>
          <w:szCs w:val="21"/>
          <w:shd w:val="clear" w:color="auto" w:fill="FFFFFF"/>
          <w:lang w:val="en-US" w:eastAsia="zh-CN"/>
        </w:rPr>
        <w:t>5</w:t>
      </w:r>
      <w:r>
        <w:rPr>
          <w:rFonts w:hint="eastAsia"/>
          <w:sz w:val="21"/>
          <w:szCs w:val="21"/>
          <w:shd w:val="clear" w:color="auto" w:fill="FFFFFF"/>
          <w:lang w:eastAsia="zh-CN"/>
        </w:rPr>
        <w:t>）</w:t>
      </w:r>
      <w:r>
        <w:rPr>
          <w:rFonts w:hint="eastAsia"/>
          <w:sz w:val="21"/>
          <w:szCs w:val="21"/>
          <w:shd w:val="clear" w:color="auto" w:fill="FFFFFF"/>
        </w:rPr>
        <w:t>须具备</w:t>
      </w:r>
      <w:r>
        <w:rPr>
          <w:rFonts w:hint="eastAsia"/>
          <w:sz w:val="21"/>
          <w:szCs w:val="21"/>
          <w:shd w:val="clear" w:color="auto" w:fill="FFFFFF"/>
          <w:lang w:val="en-US" w:eastAsia="zh-CN"/>
        </w:rPr>
        <w:t>建筑</w:t>
      </w:r>
      <w:r>
        <w:rPr>
          <w:rFonts w:hint="eastAsia"/>
          <w:sz w:val="21"/>
          <w:szCs w:val="21"/>
          <w:shd w:val="clear" w:color="auto" w:fill="FFFFFF"/>
          <w:lang w:eastAsia="zh-CN"/>
        </w:rPr>
        <w:t>施工总承包三级及其以上</w:t>
      </w:r>
      <w:r>
        <w:rPr>
          <w:rFonts w:hint="eastAsia"/>
          <w:sz w:val="21"/>
          <w:szCs w:val="21"/>
          <w:shd w:val="clear" w:color="auto" w:fill="FFFFFF"/>
        </w:rPr>
        <w:t>资质证书（外地企业需在本市建设工程行政主管部门备案）；</w:t>
      </w:r>
    </w:p>
    <w:p>
      <w:pPr>
        <w:pStyle w:val="17"/>
        <w:shd w:val="clear" w:color="auto" w:fill="FFFFFF"/>
        <w:spacing w:beforeAutospacing="0" w:after="300" w:afterAutospacing="0" w:line="360" w:lineRule="atLeast"/>
        <w:ind w:firstLine="420"/>
        <w:rPr>
          <w:rFonts w:hint="eastAsia"/>
          <w:sz w:val="21"/>
          <w:szCs w:val="21"/>
          <w:shd w:val="clear" w:color="auto" w:fill="FFFFFF"/>
        </w:rPr>
      </w:pPr>
      <w:r>
        <w:rPr>
          <w:rFonts w:hint="eastAsia"/>
          <w:sz w:val="21"/>
          <w:szCs w:val="21"/>
          <w:shd w:val="clear" w:color="auto" w:fill="FFFFFF"/>
        </w:rPr>
        <w:t>（</w:t>
      </w:r>
      <w:r>
        <w:rPr>
          <w:rFonts w:hint="eastAsia"/>
          <w:sz w:val="21"/>
          <w:szCs w:val="21"/>
          <w:shd w:val="clear" w:color="auto" w:fill="FFFFFF"/>
          <w:lang w:val="en-US" w:eastAsia="zh-CN"/>
        </w:rPr>
        <w:t>6</w:t>
      </w:r>
      <w:r>
        <w:rPr>
          <w:rFonts w:hint="eastAsia"/>
          <w:sz w:val="21"/>
          <w:szCs w:val="21"/>
          <w:shd w:val="clear" w:color="auto" w:fill="FFFFFF"/>
        </w:rPr>
        <w:t>）须具备有效的《安全生产许可证》；</w:t>
      </w:r>
    </w:p>
    <w:p>
      <w:pPr>
        <w:pStyle w:val="17"/>
        <w:shd w:val="clear" w:color="auto" w:fill="FFFFFF"/>
        <w:spacing w:beforeAutospacing="0" w:after="300" w:afterAutospacing="0" w:line="360" w:lineRule="atLeast"/>
        <w:ind w:firstLine="420"/>
        <w:rPr>
          <w:rFonts w:hint="eastAsia"/>
          <w:sz w:val="21"/>
          <w:szCs w:val="21"/>
          <w:shd w:val="clear" w:color="auto" w:fill="FFFFFF"/>
        </w:rPr>
      </w:pPr>
      <w:r>
        <w:rPr>
          <w:rFonts w:hint="eastAsia"/>
          <w:sz w:val="21"/>
          <w:szCs w:val="21"/>
          <w:shd w:val="clear" w:color="auto" w:fill="FFFFFF"/>
        </w:rPr>
        <w:t>（</w:t>
      </w:r>
      <w:r>
        <w:rPr>
          <w:rFonts w:hint="eastAsia"/>
          <w:sz w:val="21"/>
          <w:szCs w:val="21"/>
          <w:shd w:val="clear" w:color="auto" w:fill="FFFFFF"/>
          <w:lang w:val="en-US" w:eastAsia="zh-CN"/>
        </w:rPr>
        <w:t>7</w:t>
      </w:r>
      <w:r>
        <w:rPr>
          <w:rFonts w:hint="eastAsia"/>
          <w:sz w:val="21"/>
          <w:szCs w:val="21"/>
          <w:shd w:val="clear" w:color="auto" w:fill="FFFFFF"/>
        </w:rPr>
        <w:t>）建造师须具备</w:t>
      </w:r>
      <w:r>
        <w:rPr>
          <w:rFonts w:hint="eastAsia"/>
          <w:sz w:val="21"/>
          <w:szCs w:val="21"/>
          <w:shd w:val="clear" w:color="auto" w:fill="FFFFFF"/>
          <w:lang w:val="en-US" w:eastAsia="zh-CN"/>
        </w:rPr>
        <w:t>建筑工程</w:t>
      </w:r>
      <w:r>
        <w:rPr>
          <w:rFonts w:hint="eastAsia"/>
          <w:sz w:val="21"/>
          <w:szCs w:val="21"/>
          <w:shd w:val="clear" w:color="auto" w:fill="FFFFFF"/>
        </w:rPr>
        <w:t>注册二级</w:t>
      </w:r>
      <w:r>
        <w:rPr>
          <w:rFonts w:hint="eastAsia"/>
          <w:sz w:val="21"/>
          <w:szCs w:val="21"/>
          <w:shd w:val="clear" w:color="auto" w:fill="FFFFFF"/>
          <w:lang w:val="en-US" w:eastAsia="zh-CN"/>
        </w:rPr>
        <w:t>及以上</w:t>
      </w:r>
      <w:r>
        <w:rPr>
          <w:rFonts w:hint="eastAsia"/>
          <w:sz w:val="21"/>
          <w:szCs w:val="21"/>
          <w:shd w:val="clear" w:color="auto" w:fill="FFFFFF"/>
        </w:rPr>
        <w:t>建造师资格，且具备安全生产考核合格证书；</w:t>
      </w:r>
    </w:p>
    <w:p>
      <w:pPr>
        <w:pStyle w:val="17"/>
        <w:shd w:val="clear" w:color="auto" w:fill="FFFFFF"/>
        <w:spacing w:beforeAutospacing="0" w:after="300" w:afterAutospacing="0" w:line="360" w:lineRule="atLeast"/>
        <w:ind w:firstLine="420"/>
        <w:rPr>
          <w:rFonts w:hint="eastAsia"/>
          <w:sz w:val="21"/>
          <w:szCs w:val="21"/>
          <w:shd w:val="clear" w:color="auto" w:fill="FFFFFF"/>
        </w:rPr>
      </w:pPr>
      <w:r>
        <w:rPr>
          <w:rFonts w:hint="eastAsia"/>
          <w:sz w:val="21"/>
          <w:szCs w:val="21"/>
          <w:shd w:val="clear" w:color="auto" w:fill="FFFFFF"/>
          <w:lang w:eastAsia="zh-CN"/>
        </w:rPr>
        <w:t>（</w:t>
      </w:r>
      <w:r>
        <w:rPr>
          <w:rFonts w:hint="eastAsia"/>
          <w:sz w:val="21"/>
          <w:szCs w:val="21"/>
          <w:shd w:val="clear" w:color="auto" w:fill="FFFFFF"/>
          <w:lang w:val="en-US" w:eastAsia="zh-CN"/>
        </w:rPr>
        <w:t>8</w:t>
      </w:r>
      <w:r>
        <w:rPr>
          <w:rFonts w:hint="eastAsia"/>
          <w:sz w:val="21"/>
          <w:szCs w:val="21"/>
          <w:shd w:val="clear" w:color="auto" w:fill="FFFFFF"/>
          <w:lang w:eastAsia="zh-CN"/>
        </w:rPr>
        <w:t>）</w:t>
      </w:r>
      <w:r>
        <w:rPr>
          <w:rFonts w:hint="eastAsia"/>
          <w:sz w:val="21"/>
          <w:szCs w:val="21"/>
          <w:shd w:val="clear" w:color="auto" w:fill="FFFFFF"/>
        </w:rPr>
        <w:t>投标人须具备道路运输经营许可证；</w:t>
      </w:r>
    </w:p>
    <w:p>
      <w:pPr>
        <w:pStyle w:val="17"/>
        <w:shd w:val="clear" w:color="auto" w:fill="FFFFFF"/>
        <w:spacing w:beforeAutospacing="0" w:after="300" w:afterAutospacing="0" w:line="360" w:lineRule="atLeast"/>
        <w:ind w:firstLine="420"/>
        <w:rPr>
          <w:sz w:val="21"/>
          <w:szCs w:val="21"/>
        </w:rPr>
      </w:pPr>
      <w:r>
        <w:rPr>
          <w:rStyle w:val="23"/>
          <w:rFonts w:hint="eastAsia"/>
          <w:b/>
          <w:bCs/>
          <w:szCs w:val="21"/>
          <w:shd w:val="clear" w:color="auto" w:fill="FFFFFF"/>
        </w:rPr>
        <w:t>二、项目概况</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1、项目名称：</w:t>
      </w:r>
      <w:r>
        <w:rPr>
          <w:rFonts w:hint="eastAsia"/>
          <w:sz w:val="21"/>
          <w:szCs w:val="21"/>
          <w:shd w:val="clear" w:color="auto" w:fill="FFFFFF"/>
          <w:lang w:eastAsia="zh-CN"/>
        </w:rPr>
        <w:t>月浦镇段泾村土地整理复垦项目（沪宝耕立【2021】0007号）</w:t>
      </w:r>
      <w:r>
        <w:rPr>
          <w:rFonts w:hint="eastAsia"/>
          <w:sz w:val="21"/>
          <w:szCs w:val="21"/>
          <w:shd w:val="clear" w:color="auto" w:fill="FFFFFF"/>
        </w:rPr>
        <w:t>；</w:t>
      </w:r>
    </w:p>
    <w:p>
      <w:pPr>
        <w:pStyle w:val="17"/>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2、项目主要内容、数量及简要规格描述或项目基本概况介绍：</w:t>
      </w:r>
    </w:p>
    <w:p>
      <w:pPr>
        <w:pStyle w:val="17"/>
        <w:shd w:val="clear" w:color="auto" w:fill="FFFFFF"/>
        <w:spacing w:beforeAutospacing="0" w:after="300" w:afterAutospacing="0" w:line="360" w:lineRule="atLeast"/>
        <w:ind w:firstLine="420"/>
        <w:rPr>
          <w:sz w:val="21"/>
          <w:szCs w:val="21"/>
          <w:shd w:val="clear" w:color="auto" w:fill="FFFFFF"/>
        </w:rPr>
      </w:pPr>
      <w:r>
        <w:rPr>
          <w:rFonts w:hint="eastAsia" w:cs="Arial" w:asciiTheme="minorEastAsia" w:hAnsiTheme="minorEastAsia"/>
          <w:sz w:val="21"/>
          <w:szCs w:val="21"/>
          <w:lang w:eastAsia="zh-CN"/>
        </w:rPr>
        <w:t>土地复垦建筑垃圾外运及种植土回填</w:t>
      </w:r>
      <w:r>
        <w:rPr>
          <w:rFonts w:hint="eastAsia"/>
          <w:sz w:val="21"/>
          <w:szCs w:val="21"/>
          <w:shd w:val="clear" w:color="auto" w:fill="FFFFFF"/>
        </w:rPr>
        <w:t>等，具体工作内容详见工程量清单</w:t>
      </w:r>
    </w:p>
    <w:p>
      <w:pPr>
        <w:pStyle w:val="17"/>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3、交付地址：宝山区；</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4、</w:t>
      </w:r>
      <w:r>
        <w:rPr>
          <w:rFonts w:cs="Arial" w:asciiTheme="minorEastAsia" w:hAnsiTheme="minorEastAsia"/>
          <w:sz w:val="21"/>
          <w:szCs w:val="21"/>
        </w:rPr>
        <w:t>交付日期：</w:t>
      </w:r>
      <w:r>
        <w:rPr>
          <w:rFonts w:hint="eastAsia" w:cs="Arial" w:asciiTheme="minorEastAsia" w:hAnsiTheme="minorEastAsia"/>
          <w:sz w:val="21"/>
          <w:szCs w:val="21"/>
          <w:lang w:eastAsia="zh-CN"/>
        </w:rPr>
        <w:t>合同签订后</w:t>
      </w:r>
      <w:r>
        <w:rPr>
          <w:rFonts w:hint="eastAsia" w:cs="Arial" w:asciiTheme="minorEastAsia" w:hAnsiTheme="minorEastAsia"/>
          <w:sz w:val="21"/>
          <w:szCs w:val="21"/>
          <w:lang w:val="en-US" w:eastAsia="zh-CN"/>
        </w:rPr>
        <w:t>15</w:t>
      </w:r>
      <w:r>
        <w:rPr>
          <w:rFonts w:hint="eastAsia" w:cs="Arial" w:asciiTheme="minorEastAsia" w:hAnsiTheme="minorEastAsia"/>
          <w:sz w:val="21"/>
          <w:szCs w:val="21"/>
        </w:rPr>
        <w:t>日历天</w:t>
      </w:r>
      <w:r>
        <w:rPr>
          <w:rFonts w:hint="eastAsia"/>
          <w:sz w:val="21"/>
          <w:szCs w:val="21"/>
          <w:shd w:val="clear" w:color="auto" w:fill="FFFFFF"/>
        </w:rPr>
        <w:t>；</w:t>
      </w:r>
    </w:p>
    <w:p>
      <w:pPr>
        <w:pStyle w:val="17"/>
        <w:shd w:val="clear" w:color="auto" w:fill="FFFFFF"/>
        <w:spacing w:beforeAutospacing="0" w:after="300" w:afterAutospacing="0" w:line="360" w:lineRule="atLeast"/>
        <w:ind w:firstLine="420"/>
        <w:rPr>
          <w:sz w:val="21"/>
          <w:szCs w:val="21"/>
          <w:highlight w:val="none"/>
        </w:rPr>
      </w:pPr>
      <w:r>
        <w:rPr>
          <w:rFonts w:hint="eastAsia"/>
          <w:sz w:val="21"/>
          <w:szCs w:val="21"/>
          <w:shd w:val="clear" w:color="auto" w:fill="FFFFFF"/>
        </w:rPr>
        <w:t>5、采购项目适用原因：按照招标投标法及其实施条例必须进行招标的工程建设项目以外的工程建设项目；</w:t>
      </w:r>
    </w:p>
    <w:p>
      <w:pPr>
        <w:pStyle w:val="17"/>
        <w:shd w:val="clear" w:color="auto" w:fill="FFFFFF"/>
        <w:spacing w:beforeAutospacing="0" w:after="300" w:afterAutospacing="0" w:line="360" w:lineRule="atLeast"/>
        <w:ind w:firstLine="420"/>
        <w:rPr>
          <w:sz w:val="21"/>
          <w:szCs w:val="21"/>
          <w:highlight w:val="none"/>
        </w:rPr>
      </w:pPr>
      <w:r>
        <w:rPr>
          <w:rFonts w:hint="eastAsia"/>
          <w:sz w:val="21"/>
          <w:szCs w:val="21"/>
          <w:highlight w:val="none"/>
          <w:shd w:val="clear" w:color="auto" w:fill="FFFFFF"/>
        </w:rPr>
        <w:t>6、采购预算金额：</w:t>
      </w:r>
      <w:r>
        <w:rPr>
          <w:rFonts w:hint="eastAsia"/>
          <w:sz w:val="21"/>
          <w:szCs w:val="21"/>
          <w:highlight w:val="none"/>
          <w:shd w:val="clear" w:color="auto" w:fill="FFFFFF"/>
          <w:lang w:val="en-US" w:eastAsia="zh-CN"/>
        </w:rPr>
        <w:t>82.8086万</w:t>
      </w:r>
      <w:r>
        <w:rPr>
          <w:rFonts w:hint="eastAsia"/>
          <w:sz w:val="21"/>
          <w:szCs w:val="21"/>
          <w:highlight w:val="none"/>
          <w:shd w:val="clear" w:color="auto" w:fill="FFFFFF"/>
        </w:rPr>
        <w:t>元（国库资金：0元；自筹资金：</w:t>
      </w:r>
      <w:r>
        <w:rPr>
          <w:rFonts w:hint="eastAsia"/>
          <w:sz w:val="21"/>
          <w:szCs w:val="21"/>
          <w:highlight w:val="none"/>
          <w:shd w:val="clear" w:color="auto" w:fill="FFFFFF"/>
          <w:lang w:val="en-US" w:eastAsia="zh-CN"/>
        </w:rPr>
        <w:t>82.8086万</w:t>
      </w:r>
      <w:r>
        <w:rPr>
          <w:rFonts w:hint="eastAsia"/>
          <w:sz w:val="21"/>
          <w:szCs w:val="21"/>
          <w:highlight w:val="none"/>
          <w:shd w:val="clear" w:color="auto" w:fill="FFFFFF"/>
        </w:rPr>
        <w:t>元）；</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7、采购项目需要落实的政府采购政策情况：</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根据财政部，工信部印发的《政府采购促进中小企业发展暂行办法》（财库【2011】181号）规定，小型、微型企业产品参与谈判享受相应优惠，执行政府采购有关鼓励支持节能产品、环境认证产品以及支持中小企业、福利企业等的政策规定。</w:t>
      </w:r>
    </w:p>
    <w:p>
      <w:pPr>
        <w:pStyle w:val="17"/>
        <w:shd w:val="clear" w:color="auto" w:fill="FFFFFF"/>
        <w:spacing w:beforeAutospacing="0" w:after="300" w:afterAutospacing="0" w:line="360" w:lineRule="atLeast"/>
        <w:ind w:firstLine="420"/>
        <w:rPr>
          <w:sz w:val="21"/>
          <w:szCs w:val="21"/>
          <w:highlight w:val="none"/>
        </w:rPr>
      </w:pPr>
      <w:r>
        <w:rPr>
          <w:rStyle w:val="23"/>
          <w:rFonts w:hint="eastAsia"/>
          <w:b/>
          <w:bCs/>
          <w:szCs w:val="21"/>
          <w:shd w:val="clear" w:color="auto" w:fill="FFFFFF"/>
        </w:rPr>
        <w:t>三、磋商文件的获取</w:t>
      </w:r>
    </w:p>
    <w:p>
      <w:pPr>
        <w:pStyle w:val="17"/>
        <w:shd w:val="clear" w:color="auto" w:fill="FFFFFF"/>
        <w:spacing w:beforeAutospacing="0" w:after="300" w:afterAutospacing="0" w:line="360" w:lineRule="atLeast"/>
        <w:ind w:firstLine="420"/>
        <w:rPr>
          <w:rFonts w:hint="eastAsia"/>
          <w:sz w:val="21"/>
          <w:szCs w:val="21"/>
          <w:highlight w:val="none"/>
          <w:shd w:val="clear" w:color="auto" w:fill="FFFFFF"/>
        </w:rPr>
      </w:pPr>
      <w:r>
        <w:rPr>
          <w:rFonts w:hint="eastAsia"/>
          <w:sz w:val="21"/>
          <w:szCs w:val="21"/>
          <w:highlight w:val="none"/>
          <w:shd w:val="clear" w:color="auto" w:fill="FFFFFF"/>
        </w:rPr>
        <w:t>1、合格的供应商可于2021年</w:t>
      </w:r>
      <w:r>
        <w:rPr>
          <w:rFonts w:hint="eastAsia"/>
          <w:sz w:val="21"/>
          <w:szCs w:val="21"/>
          <w:highlight w:val="none"/>
          <w:shd w:val="clear" w:color="auto" w:fill="FFFFFF"/>
          <w:lang w:val="en-US" w:eastAsia="zh-CN"/>
        </w:rPr>
        <w:t>7</w:t>
      </w:r>
      <w:r>
        <w:rPr>
          <w:rFonts w:hint="eastAsia"/>
          <w:sz w:val="21"/>
          <w:szCs w:val="21"/>
          <w:highlight w:val="none"/>
          <w:shd w:val="clear" w:color="auto" w:fill="FFFFFF"/>
        </w:rPr>
        <w:t>月</w:t>
      </w:r>
      <w:r>
        <w:rPr>
          <w:rFonts w:hint="eastAsia"/>
          <w:sz w:val="21"/>
          <w:szCs w:val="21"/>
          <w:highlight w:val="none"/>
          <w:shd w:val="clear" w:color="auto" w:fill="FFFFFF"/>
          <w:lang w:val="en-US" w:eastAsia="zh-CN"/>
        </w:rPr>
        <w:t>30</w:t>
      </w:r>
      <w:r>
        <w:rPr>
          <w:rFonts w:hint="eastAsia"/>
          <w:sz w:val="21"/>
          <w:szCs w:val="21"/>
          <w:highlight w:val="none"/>
          <w:shd w:val="clear" w:color="auto" w:fill="FFFFFF"/>
        </w:rPr>
        <w:t>日本公告发布之日起至2021年</w:t>
      </w:r>
      <w:r>
        <w:rPr>
          <w:rFonts w:hint="eastAsia"/>
          <w:sz w:val="21"/>
          <w:szCs w:val="21"/>
          <w:highlight w:val="none"/>
          <w:shd w:val="clear" w:color="auto" w:fill="FFFFFF"/>
          <w:lang w:val="en-US" w:eastAsia="zh-CN"/>
        </w:rPr>
        <w:t>8</w:t>
      </w:r>
      <w:r>
        <w:rPr>
          <w:rFonts w:hint="eastAsia"/>
          <w:sz w:val="21"/>
          <w:szCs w:val="21"/>
          <w:highlight w:val="none"/>
          <w:shd w:val="clear" w:color="auto" w:fill="FFFFFF"/>
        </w:rPr>
        <w:t>月</w:t>
      </w:r>
      <w:r>
        <w:rPr>
          <w:rFonts w:hint="eastAsia"/>
          <w:sz w:val="21"/>
          <w:szCs w:val="21"/>
          <w:highlight w:val="none"/>
          <w:shd w:val="clear" w:color="auto" w:fill="FFFFFF"/>
          <w:lang w:val="en-US" w:eastAsia="zh-CN"/>
        </w:rPr>
        <w:t>6</w:t>
      </w:r>
      <w:r>
        <w:rPr>
          <w:rFonts w:hint="eastAsia"/>
          <w:sz w:val="21"/>
          <w:szCs w:val="21"/>
          <w:highlight w:val="none"/>
          <w:shd w:val="clear" w:color="auto" w:fill="FFFFFF"/>
        </w:rPr>
        <w:t>日（每日上午9:00-下午16:00）截止，登录“上海宝山政府门户网站”获悉报名信息，并携带如下材料进行现场报名验证：</w:t>
      </w:r>
      <w:bookmarkStart w:id="564" w:name="_GoBack"/>
      <w:bookmarkEnd w:id="564"/>
    </w:p>
    <w:p>
      <w:pPr>
        <w:pStyle w:val="17"/>
        <w:shd w:val="clear" w:color="auto" w:fill="FFFFFF"/>
        <w:spacing w:beforeAutospacing="0" w:after="300" w:afterAutospacing="0" w:line="360" w:lineRule="atLeast"/>
        <w:ind w:firstLine="420"/>
        <w:rPr>
          <w:sz w:val="21"/>
          <w:szCs w:val="21"/>
          <w:highlight w:val="none"/>
        </w:rPr>
      </w:pPr>
      <w:r>
        <w:rPr>
          <w:rFonts w:hint="eastAsia"/>
          <w:sz w:val="21"/>
          <w:szCs w:val="21"/>
          <w:highlight w:val="none"/>
          <w:shd w:val="clear" w:color="auto" w:fill="FFFFFF"/>
        </w:rPr>
        <w:t>（1） 营业执照、资质证书、安全生产许可证复印件；</w:t>
      </w:r>
    </w:p>
    <w:p>
      <w:pPr>
        <w:pStyle w:val="17"/>
        <w:shd w:val="clear" w:color="auto" w:fill="FFFFFF"/>
        <w:spacing w:beforeAutospacing="0" w:after="300" w:afterAutospacing="0" w:line="360" w:lineRule="atLeast"/>
        <w:ind w:firstLine="420"/>
        <w:rPr>
          <w:sz w:val="21"/>
          <w:szCs w:val="21"/>
          <w:highlight w:val="none"/>
        </w:rPr>
      </w:pPr>
      <w:r>
        <w:rPr>
          <w:rFonts w:hint="eastAsia"/>
          <w:sz w:val="21"/>
          <w:szCs w:val="21"/>
          <w:highlight w:val="none"/>
          <w:shd w:val="clear" w:color="auto" w:fill="FFFFFF"/>
        </w:rPr>
        <w:t>（2） 法定代表人授权书原件；</w:t>
      </w:r>
    </w:p>
    <w:p>
      <w:pPr>
        <w:pStyle w:val="17"/>
        <w:shd w:val="clear" w:color="auto" w:fill="FFFFFF"/>
        <w:spacing w:beforeAutospacing="0" w:after="300" w:afterAutospacing="0" w:line="360" w:lineRule="atLeast"/>
        <w:ind w:firstLine="420"/>
        <w:rPr>
          <w:sz w:val="21"/>
          <w:szCs w:val="21"/>
          <w:highlight w:val="none"/>
        </w:rPr>
      </w:pPr>
      <w:r>
        <w:rPr>
          <w:rFonts w:hint="eastAsia"/>
          <w:sz w:val="21"/>
          <w:szCs w:val="21"/>
          <w:highlight w:val="none"/>
          <w:shd w:val="clear" w:color="auto" w:fill="FFFFFF"/>
        </w:rPr>
        <w:t>（3） 被授权代表人的身份证原件及复印件；</w:t>
      </w:r>
    </w:p>
    <w:p>
      <w:pPr>
        <w:pStyle w:val="17"/>
        <w:shd w:val="clear" w:color="auto" w:fill="FFFFFF"/>
        <w:spacing w:beforeAutospacing="0" w:after="300" w:afterAutospacing="0" w:line="360" w:lineRule="atLeast"/>
        <w:ind w:firstLine="420"/>
        <w:rPr>
          <w:sz w:val="21"/>
          <w:szCs w:val="21"/>
          <w:highlight w:val="none"/>
          <w:shd w:val="clear" w:color="auto" w:fill="FFFFFF"/>
        </w:rPr>
      </w:pPr>
      <w:r>
        <w:rPr>
          <w:rFonts w:hint="eastAsia"/>
          <w:sz w:val="21"/>
          <w:szCs w:val="21"/>
          <w:highlight w:val="none"/>
          <w:shd w:val="clear" w:color="auto" w:fill="FFFFFF"/>
        </w:rPr>
        <w:t>（4） 拟派项目负责人的</w:t>
      </w:r>
      <w:r>
        <w:rPr>
          <w:rFonts w:hint="eastAsia"/>
          <w:sz w:val="21"/>
          <w:szCs w:val="21"/>
          <w:shd w:val="clear" w:color="auto" w:fill="FFFFFF"/>
          <w:lang w:val="en-US" w:eastAsia="zh-CN"/>
        </w:rPr>
        <w:t>建筑工程</w:t>
      </w:r>
      <w:r>
        <w:rPr>
          <w:rFonts w:hint="eastAsia"/>
          <w:sz w:val="21"/>
          <w:szCs w:val="21"/>
          <w:highlight w:val="none"/>
          <w:shd w:val="clear" w:color="auto" w:fill="FFFFFF"/>
        </w:rPr>
        <w:t>专业注册二级及以上建造师资格证书复印件；</w:t>
      </w:r>
    </w:p>
    <w:p>
      <w:pPr>
        <w:pStyle w:val="17"/>
        <w:shd w:val="clear" w:color="auto" w:fill="FFFFFF"/>
        <w:spacing w:beforeAutospacing="0" w:after="300" w:afterAutospacing="0" w:line="360" w:lineRule="atLeast"/>
        <w:ind w:firstLine="420"/>
        <w:rPr>
          <w:sz w:val="21"/>
          <w:szCs w:val="21"/>
          <w:highlight w:val="none"/>
        </w:rPr>
      </w:pPr>
      <w:r>
        <w:rPr>
          <w:rFonts w:hint="eastAsia"/>
          <w:sz w:val="21"/>
          <w:szCs w:val="21"/>
          <w:highlight w:val="none"/>
          <w:shd w:val="clear" w:color="auto" w:fill="FFFFFF"/>
        </w:rPr>
        <w:t>注：通过报名现场验证并交纳竞争性磋商文件购置费的合格供应商，可领取竞争性磋商文件。竞争性磋商文件购置费</w:t>
      </w:r>
      <w:r>
        <w:rPr>
          <w:rFonts w:hint="eastAsia"/>
          <w:sz w:val="21"/>
          <w:szCs w:val="21"/>
          <w:highlight w:val="none"/>
          <w:shd w:val="clear" w:color="auto" w:fill="FFFFFF"/>
          <w:lang w:val="en-US" w:eastAsia="zh-CN"/>
        </w:rPr>
        <w:t>1000</w:t>
      </w:r>
      <w:r>
        <w:rPr>
          <w:rFonts w:hint="eastAsia"/>
          <w:sz w:val="21"/>
          <w:szCs w:val="21"/>
          <w:highlight w:val="none"/>
          <w:shd w:val="clear" w:color="auto" w:fill="FFFFFF"/>
        </w:rPr>
        <w:t>元，售后不退。</w:t>
      </w:r>
    </w:p>
    <w:p>
      <w:pPr>
        <w:pStyle w:val="17"/>
        <w:shd w:val="clear" w:color="auto" w:fill="FFFFFF"/>
        <w:spacing w:beforeAutospacing="0" w:after="300" w:afterAutospacing="0" w:line="360" w:lineRule="atLeast"/>
        <w:ind w:firstLine="420"/>
        <w:rPr>
          <w:sz w:val="21"/>
          <w:szCs w:val="21"/>
          <w:highlight w:val="none"/>
        </w:rPr>
      </w:pPr>
      <w:r>
        <w:rPr>
          <w:rFonts w:hint="eastAsia"/>
          <w:sz w:val="21"/>
          <w:szCs w:val="21"/>
          <w:highlight w:val="none"/>
          <w:shd w:val="clear" w:color="auto" w:fill="FFFFFF"/>
        </w:rPr>
        <w:t>2、凡愿参加响应的合格供应商应在上述规定的时间内按照规定获取竞争性磋商文件，逾期不再办理，未按规定获取竞争性磋商文件的响应将被拒绝。</w:t>
      </w:r>
    </w:p>
    <w:p>
      <w:pPr>
        <w:pStyle w:val="17"/>
        <w:shd w:val="clear" w:color="auto" w:fill="FFFFFF"/>
        <w:spacing w:beforeAutospacing="0" w:after="300" w:afterAutospacing="0" w:line="360" w:lineRule="atLeast"/>
        <w:ind w:firstLine="420"/>
        <w:rPr>
          <w:sz w:val="21"/>
          <w:szCs w:val="21"/>
          <w:highlight w:val="none"/>
        </w:rPr>
      </w:pPr>
      <w:r>
        <w:rPr>
          <w:rFonts w:hint="eastAsia"/>
          <w:sz w:val="21"/>
          <w:szCs w:val="21"/>
          <w:highlight w:val="none"/>
          <w:shd w:val="clear" w:color="auto" w:fill="FFFFFF"/>
        </w:rPr>
        <w:t>3、供应商须保证报名及获得磋商文件需提交的资料真实、完整、有效、一致，如因供应商递交虚假材料或填写信息错误导致的与本项目有关的任何损失由供应商承担。</w:t>
      </w:r>
    </w:p>
    <w:p>
      <w:pPr>
        <w:pStyle w:val="17"/>
        <w:shd w:val="clear" w:color="auto" w:fill="FFFFFF"/>
        <w:spacing w:beforeAutospacing="0" w:after="300" w:afterAutospacing="0" w:line="360" w:lineRule="atLeast"/>
        <w:ind w:firstLine="420"/>
        <w:rPr>
          <w:sz w:val="21"/>
          <w:szCs w:val="21"/>
          <w:highlight w:val="none"/>
        </w:rPr>
      </w:pPr>
      <w:r>
        <w:rPr>
          <w:rStyle w:val="23"/>
          <w:rFonts w:hint="eastAsia"/>
          <w:b/>
          <w:bCs/>
          <w:szCs w:val="21"/>
          <w:highlight w:val="none"/>
          <w:shd w:val="clear" w:color="auto" w:fill="FFFFFF"/>
        </w:rPr>
        <w:t>四、磋商响应截止时间和磋商时间</w:t>
      </w:r>
    </w:p>
    <w:p>
      <w:pPr>
        <w:pStyle w:val="17"/>
        <w:shd w:val="clear" w:color="auto" w:fill="FFFFFF"/>
        <w:spacing w:beforeAutospacing="0" w:after="300" w:afterAutospacing="0" w:line="360" w:lineRule="atLeast"/>
        <w:ind w:firstLine="420" w:firstLineChars="200"/>
        <w:rPr>
          <w:sz w:val="21"/>
          <w:szCs w:val="21"/>
          <w:highlight w:val="none"/>
        </w:rPr>
      </w:pPr>
      <w:r>
        <w:rPr>
          <w:rFonts w:hint="eastAsia"/>
          <w:sz w:val="21"/>
          <w:szCs w:val="21"/>
          <w:highlight w:val="none"/>
          <w:shd w:val="clear" w:color="auto" w:fill="FFFFFF"/>
        </w:rPr>
        <w:t>1、磋商响应截止时间：2021年</w:t>
      </w:r>
      <w:r>
        <w:rPr>
          <w:rFonts w:hint="eastAsia"/>
          <w:sz w:val="21"/>
          <w:szCs w:val="21"/>
          <w:highlight w:val="none"/>
          <w:shd w:val="clear" w:color="auto" w:fill="FFFFFF"/>
          <w:lang w:val="en-US" w:eastAsia="zh-CN"/>
        </w:rPr>
        <w:t>8</w:t>
      </w:r>
      <w:r>
        <w:rPr>
          <w:rFonts w:hint="eastAsia"/>
          <w:sz w:val="21"/>
          <w:szCs w:val="21"/>
          <w:highlight w:val="none"/>
          <w:shd w:val="clear" w:color="auto" w:fill="FFFFFF"/>
        </w:rPr>
        <w:t>月</w:t>
      </w:r>
      <w:r>
        <w:rPr>
          <w:rFonts w:hint="eastAsia"/>
          <w:sz w:val="21"/>
          <w:szCs w:val="21"/>
          <w:highlight w:val="none"/>
          <w:shd w:val="clear" w:color="auto" w:fill="FFFFFF"/>
          <w:lang w:val="en-US" w:eastAsia="zh-CN"/>
        </w:rPr>
        <w:t>10</w:t>
      </w:r>
      <w:r>
        <w:rPr>
          <w:rFonts w:hint="eastAsia"/>
          <w:sz w:val="21"/>
          <w:szCs w:val="21"/>
          <w:highlight w:val="none"/>
          <w:shd w:val="clear" w:color="auto" w:fill="FFFFFF"/>
        </w:rPr>
        <w:t>日</w:t>
      </w:r>
      <w:r>
        <w:rPr>
          <w:rFonts w:hint="eastAsia"/>
          <w:sz w:val="21"/>
          <w:szCs w:val="21"/>
          <w:highlight w:val="none"/>
          <w:shd w:val="clear" w:color="auto" w:fill="FFFFFF"/>
          <w:lang w:val="en-US" w:eastAsia="zh-CN"/>
        </w:rPr>
        <w:t>下</w:t>
      </w:r>
      <w:r>
        <w:rPr>
          <w:rFonts w:hint="eastAsia"/>
          <w:sz w:val="21"/>
          <w:szCs w:val="21"/>
          <w:highlight w:val="none"/>
          <w:shd w:val="clear" w:color="auto" w:fill="FFFFFF"/>
        </w:rPr>
        <w:t>午</w:t>
      </w:r>
      <w:r>
        <w:rPr>
          <w:rFonts w:hint="eastAsia"/>
          <w:sz w:val="21"/>
          <w:szCs w:val="21"/>
          <w:highlight w:val="none"/>
          <w:shd w:val="clear" w:color="auto" w:fill="FFFFFF"/>
          <w:lang w:val="en-US" w:eastAsia="zh-CN"/>
        </w:rPr>
        <w:t>16</w:t>
      </w:r>
      <w:r>
        <w:rPr>
          <w:rFonts w:hint="eastAsia"/>
          <w:sz w:val="21"/>
          <w:szCs w:val="21"/>
          <w:highlight w:val="none"/>
          <w:shd w:val="clear" w:color="auto" w:fill="FFFFFF"/>
        </w:rPr>
        <w:t>:</w:t>
      </w:r>
      <w:r>
        <w:rPr>
          <w:rFonts w:hint="eastAsia"/>
          <w:sz w:val="21"/>
          <w:szCs w:val="21"/>
          <w:highlight w:val="none"/>
          <w:shd w:val="clear" w:color="auto" w:fill="FFFFFF"/>
          <w:lang w:val="en-US" w:eastAsia="zh-CN"/>
        </w:rPr>
        <w:t>00</w:t>
      </w:r>
      <w:r>
        <w:rPr>
          <w:rFonts w:hint="eastAsia"/>
          <w:sz w:val="21"/>
          <w:szCs w:val="21"/>
          <w:highlight w:val="none"/>
          <w:shd w:val="clear" w:color="auto" w:fill="FFFFFF"/>
        </w:rPr>
        <w:t>，迟到或不符合规定的响应文件恕不接受；</w:t>
      </w:r>
    </w:p>
    <w:p>
      <w:pPr>
        <w:pStyle w:val="17"/>
        <w:shd w:val="clear" w:color="auto" w:fill="FFFFFF"/>
        <w:spacing w:beforeAutospacing="0" w:after="300" w:afterAutospacing="0" w:line="360" w:lineRule="atLeast"/>
        <w:ind w:firstLine="420"/>
        <w:rPr>
          <w:sz w:val="21"/>
          <w:szCs w:val="21"/>
          <w:highlight w:val="none"/>
        </w:rPr>
      </w:pPr>
      <w:r>
        <w:rPr>
          <w:rFonts w:hint="eastAsia"/>
          <w:sz w:val="21"/>
          <w:szCs w:val="21"/>
          <w:highlight w:val="none"/>
          <w:shd w:val="clear" w:color="auto" w:fill="FFFFFF"/>
        </w:rPr>
        <w:t>2、磋商时间：2021年</w:t>
      </w:r>
      <w:r>
        <w:rPr>
          <w:rFonts w:hint="eastAsia"/>
          <w:sz w:val="21"/>
          <w:szCs w:val="21"/>
          <w:highlight w:val="none"/>
          <w:shd w:val="clear" w:color="auto" w:fill="FFFFFF"/>
          <w:lang w:val="en-US" w:eastAsia="zh-CN"/>
        </w:rPr>
        <w:t>8</w:t>
      </w:r>
      <w:r>
        <w:rPr>
          <w:rFonts w:hint="eastAsia"/>
          <w:sz w:val="21"/>
          <w:szCs w:val="21"/>
          <w:highlight w:val="none"/>
          <w:shd w:val="clear" w:color="auto" w:fill="FFFFFF"/>
        </w:rPr>
        <w:t>月</w:t>
      </w:r>
      <w:r>
        <w:rPr>
          <w:rFonts w:hint="eastAsia"/>
          <w:sz w:val="21"/>
          <w:szCs w:val="21"/>
          <w:highlight w:val="none"/>
          <w:shd w:val="clear" w:color="auto" w:fill="FFFFFF"/>
          <w:lang w:val="en-US" w:eastAsia="zh-CN"/>
        </w:rPr>
        <w:t>12</w:t>
      </w:r>
      <w:r>
        <w:rPr>
          <w:rFonts w:hint="eastAsia"/>
          <w:sz w:val="21"/>
          <w:szCs w:val="21"/>
          <w:highlight w:val="none"/>
          <w:shd w:val="clear" w:color="auto" w:fill="FFFFFF"/>
        </w:rPr>
        <w:t>日</w:t>
      </w:r>
      <w:r>
        <w:rPr>
          <w:rFonts w:hint="eastAsia"/>
          <w:sz w:val="21"/>
          <w:szCs w:val="21"/>
          <w:highlight w:val="none"/>
          <w:shd w:val="clear" w:color="auto" w:fill="FFFFFF"/>
          <w:lang w:val="en-US" w:eastAsia="zh-CN"/>
        </w:rPr>
        <w:t>下</w:t>
      </w:r>
      <w:r>
        <w:rPr>
          <w:rFonts w:hint="eastAsia"/>
          <w:sz w:val="21"/>
          <w:szCs w:val="21"/>
          <w:highlight w:val="none"/>
          <w:shd w:val="clear" w:color="auto" w:fill="FFFFFF"/>
        </w:rPr>
        <w:t>午</w:t>
      </w:r>
      <w:r>
        <w:rPr>
          <w:rFonts w:hint="eastAsia"/>
          <w:sz w:val="21"/>
          <w:szCs w:val="21"/>
          <w:highlight w:val="none"/>
          <w:shd w:val="clear" w:color="auto" w:fill="FFFFFF"/>
          <w:lang w:val="en-US" w:eastAsia="zh-CN"/>
        </w:rPr>
        <w:t>13</w:t>
      </w:r>
      <w:r>
        <w:rPr>
          <w:rFonts w:hint="eastAsia"/>
          <w:sz w:val="21"/>
          <w:szCs w:val="21"/>
          <w:highlight w:val="none"/>
          <w:shd w:val="clear" w:color="auto" w:fill="FFFFFF"/>
        </w:rPr>
        <w:t>:</w:t>
      </w:r>
      <w:r>
        <w:rPr>
          <w:rFonts w:hint="eastAsia"/>
          <w:sz w:val="21"/>
          <w:szCs w:val="21"/>
          <w:highlight w:val="none"/>
          <w:shd w:val="clear" w:color="auto" w:fill="FFFFFF"/>
          <w:lang w:val="en-US" w:eastAsia="zh-CN"/>
        </w:rPr>
        <w:t>0</w:t>
      </w:r>
      <w:r>
        <w:rPr>
          <w:rFonts w:hint="eastAsia"/>
          <w:sz w:val="21"/>
          <w:szCs w:val="21"/>
          <w:highlight w:val="none"/>
          <w:shd w:val="clear" w:color="auto" w:fill="FFFFFF"/>
        </w:rPr>
        <w:t>0。</w:t>
      </w:r>
    </w:p>
    <w:p>
      <w:pPr>
        <w:pStyle w:val="17"/>
        <w:shd w:val="clear" w:color="auto" w:fill="FFFFFF"/>
        <w:spacing w:beforeAutospacing="0" w:after="300" w:afterAutospacing="0" w:line="360" w:lineRule="atLeast"/>
        <w:ind w:firstLine="420"/>
        <w:rPr>
          <w:sz w:val="21"/>
          <w:szCs w:val="21"/>
        </w:rPr>
      </w:pPr>
      <w:r>
        <w:rPr>
          <w:rStyle w:val="23"/>
          <w:rFonts w:hint="eastAsia"/>
          <w:b/>
          <w:bCs/>
          <w:szCs w:val="21"/>
          <w:shd w:val="clear" w:color="auto" w:fill="FFFFFF"/>
        </w:rPr>
        <w:t>五、磋商响应文件递交地点和磋商地点</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1、磋商响应文件递交地点：上海市宝山区友谊路1538弄15号；</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2、磋商地点：上海市宝山区友谊路1538弄15号；</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3、磋商所需携带其他材料：</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（1）法定代表人授权委托书或法定代表人证明（加盖单位公章）；</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（2）被授权人身份证原件及复印件（加盖单位公章）；</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（3）电子版工程量清单组价文件（GBQ6文件一份，提供电子光盘或U盘）。</w:t>
      </w:r>
    </w:p>
    <w:p>
      <w:pPr>
        <w:pStyle w:val="17"/>
        <w:shd w:val="clear" w:color="auto" w:fill="FFFFFF"/>
        <w:spacing w:beforeAutospacing="0" w:after="300" w:afterAutospacing="0" w:line="360" w:lineRule="atLeast"/>
        <w:ind w:firstLine="420"/>
        <w:rPr>
          <w:sz w:val="21"/>
          <w:szCs w:val="21"/>
        </w:rPr>
      </w:pPr>
      <w:r>
        <w:rPr>
          <w:rStyle w:val="23"/>
          <w:rFonts w:hint="eastAsia"/>
          <w:b/>
          <w:bCs/>
          <w:szCs w:val="21"/>
          <w:shd w:val="clear" w:color="auto" w:fill="FFFFFF"/>
        </w:rPr>
        <w:t>六、发布公告的媒介</w:t>
      </w:r>
    </w:p>
    <w:p>
      <w:pPr>
        <w:pStyle w:val="17"/>
        <w:shd w:val="clear" w:color="auto" w:fill="FFFFFF"/>
        <w:spacing w:beforeAutospacing="0" w:after="300" w:afterAutospacing="0" w:line="360" w:lineRule="atLeast"/>
        <w:ind w:firstLine="420"/>
        <w:rPr>
          <w:sz w:val="21"/>
          <w:szCs w:val="21"/>
        </w:rPr>
      </w:pPr>
      <w:r>
        <w:rPr>
          <w:rFonts w:hint="eastAsia"/>
          <w:sz w:val="21"/>
          <w:szCs w:val="21"/>
          <w:shd w:val="clear" w:color="auto" w:fill="FFFFFF"/>
        </w:rPr>
        <w:t>以上信息若有变更我们会通过“上海宝山政府门户网站”通知，请供应商关注。</w:t>
      </w:r>
    </w:p>
    <w:p>
      <w:pPr>
        <w:pStyle w:val="17"/>
        <w:shd w:val="clear" w:color="auto" w:fill="FFFFFF"/>
        <w:spacing w:beforeAutospacing="0" w:after="300" w:afterAutospacing="0" w:line="360" w:lineRule="atLeast"/>
        <w:ind w:firstLine="420"/>
        <w:rPr>
          <w:sz w:val="21"/>
          <w:szCs w:val="21"/>
        </w:rPr>
      </w:pPr>
      <w:r>
        <w:rPr>
          <w:rStyle w:val="23"/>
          <w:rFonts w:hint="eastAsia"/>
          <w:b/>
          <w:bCs/>
          <w:szCs w:val="21"/>
          <w:shd w:val="clear" w:color="auto" w:fill="FFFFFF"/>
        </w:rPr>
        <w:t>七、联系方式</w:t>
      </w:r>
    </w:p>
    <w:p>
      <w:pPr>
        <w:pStyle w:val="17"/>
        <w:shd w:val="clear" w:color="auto" w:fill="FFFFFF"/>
        <w:spacing w:beforeAutospacing="0" w:after="300" w:afterAutospacing="0" w:line="360" w:lineRule="atLeast"/>
        <w:ind w:firstLine="420"/>
        <w:rPr>
          <w:rFonts w:hint="eastAsia"/>
          <w:sz w:val="21"/>
          <w:szCs w:val="21"/>
          <w:shd w:val="clear" w:color="auto" w:fill="FFFFFF"/>
          <w:lang w:val="en-US" w:eastAsia="zh-CN"/>
        </w:rPr>
      </w:pPr>
      <w:r>
        <w:rPr>
          <w:rFonts w:hint="eastAsia"/>
          <w:sz w:val="21"/>
          <w:szCs w:val="21"/>
          <w:shd w:val="clear" w:color="auto" w:fill="FFFFFF"/>
        </w:rPr>
        <w:t>采购</w:t>
      </w:r>
      <w:r>
        <w:rPr>
          <w:rFonts w:hint="eastAsia"/>
          <w:sz w:val="21"/>
          <w:szCs w:val="21"/>
          <w:shd w:val="clear" w:color="auto" w:fill="FFFFFF"/>
          <w:lang w:val="en-US" w:eastAsia="zh-CN"/>
        </w:rPr>
        <w:t>人：上海市宝山区月浦镇人民政府</w:t>
      </w:r>
    </w:p>
    <w:p>
      <w:pPr>
        <w:pStyle w:val="17"/>
        <w:shd w:val="clear" w:color="auto" w:fill="FFFFFF"/>
        <w:spacing w:beforeAutospacing="0" w:after="300" w:afterAutospacing="0" w:line="360" w:lineRule="atLeast"/>
        <w:ind w:firstLine="420"/>
        <w:rPr>
          <w:rFonts w:hint="eastAsia"/>
          <w:sz w:val="21"/>
          <w:szCs w:val="21"/>
          <w:shd w:val="clear" w:color="auto" w:fill="FFFFFF"/>
          <w:lang w:val="en-US" w:eastAsia="zh-CN"/>
        </w:rPr>
      </w:pPr>
      <w:r>
        <w:rPr>
          <w:rFonts w:hint="eastAsia"/>
          <w:sz w:val="21"/>
          <w:szCs w:val="21"/>
          <w:shd w:val="clear" w:color="auto" w:fill="FFFFFF"/>
          <w:lang w:val="en-US" w:eastAsia="zh-CN"/>
        </w:rPr>
        <w:t>地址：上海市宝山区月罗路200号</w:t>
      </w:r>
    </w:p>
    <w:p>
      <w:pPr>
        <w:pStyle w:val="17"/>
        <w:shd w:val="clear" w:color="auto" w:fill="FFFFFF"/>
        <w:spacing w:beforeAutospacing="0" w:after="300" w:afterAutospacing="0" w:line="360" w:lineRule="atLeast"/>
        <w:ind w:firstLine="420"/>
        <w:rPr>
          <w:rFonts w:hint="eastAsia"/>
          <w:sz w:val="21"/>
          <w:szCs w:val="21"/>
          <w:shd w:val="clear" w:color="auto" w:fill="FFFFFF"/>
          <w:lang w:val="en-US" w:eastAsia="zh-CN"/>
        </w:rPr>
      </w:pPr>
      <w:r>
        <w:rPr>
          <w:rFonts w:hint="eastAsia"/>
          <w:sz w:val="21"/>
          <w:szCs w:val="21"/>
          <w:shd w:val="clear" w:color="auto" w:fill="FFFFFF"/>
          <w:lang w:val="en-US" w:eastAsia="zh-CN"/>
        </w:rPr>
        <w:t>联系人：怀兆雄</w:t>
      </w:r>
    </w:p>
    <w:p>
      <w:pPr>
        <w:pStyle w:val="17"/>
        <w:shd w:val="clear" w:color="auto" w:fill="FFFFFF"/>
        <w:spacing w:beforeAutospacing="0" w:after="300" w:afterAutospacing="0" w:line="360" w:lineRule="atLeast"/>
        <w:ind w:firstLine="420"/>
        <w:rPr>
          <w:rFonts w:hint="eastAsia"/>
          <w:sz w:val="21"/>
          <w:szCs w:val="21"/>
          <w:shd w:val="clear" w:color="auto" w:fill="FFFFFF"/>
          <w:lang w:val="en-US" w:eastAsia="zh-CN"/>
        </w:rPr>
      </w:pPr>
      <w:r>
        <w:rPr>
          <w:rFonts w:hint="eastAsia"/>
          <w:sz w:val="21"/>
          <w:szCs w:val="21"/>
          <w:shd w:val="clear" w:color="auto" w:fill="FFFFFF"/>
          <w:lang w:val="en-US" w:eastAsia="zh-CN"/>
        </w:rPr>
        <w:t>电话：56935904</w:t>
      </w:r>
    </w:p>
    <w:p>
      <w:pPr>
        <w:pStyle w:val="17"/>
        <w:shd w:val="clear" w:color="auto" w:fill="FFFFFF"/>
        <w:spacing w:beforeAutospacing="0" w:after="300" w:afterAutospacing="0" w:line="360" w:lineRule="atLeast"/>
        <w:ind w:firstLine="420"/>
        <w:rPr>
          <w:sz w:val="21"/>
          <w:szCs w:val="21"/>
          <w:shd w:val="clear" w:color="auto" w:fill="FFFFFF"/>
        </w:rPr>
      </w:pPr>
      <w:r>
        <w:rPr>
          <w:rFonts w:hint="eastAsia"/>
          <w:sz w:val="21"/>
          <w:szCs w:val="21"/>
          <w:shd w:val="clear" w:color="auto" w:fill="FFFFFF"/>
        </w:rPr>
        <w:t>采购代理机构：上海熙运工程咨询有限公司</w:t>
      </w:r>
    </w:p>
    <w:p>
      <w:pPr>
        <w:pStyle w:val="17"/>
        <w:shd w:val="clear" w:color="auto" w:fill="FFFFFF"/>
        <w:spacing w:beforeAutospacing="0" w:after="300" w:afterAutospacing="0" w:line="360" w:lineRule="atLeast"/>
        <w:ind w:firstLine="420"/>
        <w:rPr>
          <w:rFonts w:hint="default" w:eastAsia="宋体"/>
          <w:sz w:val="21"/>
          <w:szCs w:val="21"/>
          <w:shd w:val="clear" w:color="auto" w:fill="FFFFFF"/>
          <w:lang w:val="en-US" w:eastAsia="zh-CN"/>
        </w:rPr>
      </w:pPr>
      <w:r>
        <w:rPr>
          <w:rFonts w:hint="eastAsia"/>
          <w:sz w:val="21"/>
          <w:szCs w:val="21"/>
          <w:shd w:val="clear" w:color="auto" w:fill="FFFFFF"/>
        </w:rPr>
        <w:t>地 址：</w:t>
      </w:r>
      <w:r>
        <w:rPr>
          <w:rFonts w:hint="eastAsia"/>
          <w:sz w:val="21"/>
          <w:szCs w:val="21"/>
          <w:shd w:val="clear" w:color="auto" w:fill="FFFFFF"/>
          <w:lang w:val="en-US" w:eastAsia="zh-CN"/>
        </w:rPr>
        <w:t>宝山区友谊路1538弄15号</w:t>
      </w:r>
    </w:p>
    <w:p>
      <w:pPr>
        <w:pStyle w:val="17"/>
        <w:shd w:val="clear" w:color="auto" w:fill="FFFFFF"/>
        <w:spacing w:beforeAutospacing="0" w:after="300" w:afterAutospacing="0" w:line="360" w:lineRule="atLeast"/>
        <w:ind w:firstLine="420"/>
        <w:rPr>
          <w:sz w:val="21"/>
          <w:szCs w:val="21"/>
          <w:shd w:val="clear" w:color="auto" w:fill="FFFFFF"/>
          <w:lang w:val="zh-CN"/>
        </w:rPr>
      </w:pPr>
      <w:r>
        <w:rPr>
          <w:rFonts w:hint="eastAsia"/>
          <w:sz w:val="21"/>
          <w:szCs w:val="21"/>
          <w:shd w:val="clear" w:color="auto" w:fill="FFFFFF"/>
          <w:lang w:val="zh-CN"/>
        </w:rPr>
        <w:t>联系人：</w:t>
      </w:r>
      <w:r>
        <w:rPr>
          <w:rFonts w:hint="eastAsia"/>
          <w:sz w:val="21"/>
          <w:szCs w:val="21"/>
          <w:shd w:val="clear" w:color="auto" w:fill="FFFFFF"/>
        </w:rPr>
        <w:t>李溪</w:t>
      </w:r>
    </w:p>
    <w:p>
      <w:pPr>
        <w:pStyle w:val="17"/>
        <w:shd w:val="clear" w:color="auto" w:fill="FFFFFF"/>
        <w:spacing w:beforeAutospacing="0" w:after="300" w:afterAutospacing="0" w:line="360" w:lineRule="atLeast"/>
        <w:ind w:firstLine="420"/>
        <w:rPr>
          <w:rFonts w:hint="eastAsia" w:eastAsia="宋体"/>
          <w:sz w:val="21"/>
          <w:szCs w:val="21"/>
          <w:lang w:eastAsia="zh-CN"/>
        </w:rPr>
      </w:pPr>
      <w:r>
        <w:rPr>
          <w:rFonts w:hint="eastAsia"/>
          <w:sz w:val="21"/>
          <w:szCs w:val="21"/>
          <w:shd w:val="clear" w:color="auto" w:fill="FFFFFF"/>
        </w:rPr>
        <w:t>电话：</w:t>
      </w:r>
      <w:r>
        <w:rPr>
          <w:rFonts w:hint="eastAsia"/>
          <w:sz w:val="21"/>
          <w:szCs w:val="21"/>
          <w:shd w:val="clear" w:color="auto" w:fill="FFFFFF"/>
          <w:lang w:eastAsia="zh-CN"/>
        </w:rPr>
        <w:t>13122120725</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pPr>
      <w:bookmarkStart w:id="5" w:name="_Toc2299"/>
      <w:bookmarkStart w:id="6" w:name="_Toc26165"/>
      <w:bookmarkStart w:id="7" w:name="_Toc9889"/>
      <w:r>
        <w:rPr>
          <w:rFonts w:hint="eastAsia"/>
        </w:rPr>
        <w:t>第二章  供应商须知</w:t>
      </w:r>
      <w:bookmarkEnd w:id="4"/>
      <w:bookmarkEnd w:id="5"/>
      <w:bookmarkEnd w:id="6"/>
      <w:bookmarkEnd w:id="7"/>
    </w:p>
    <w:tbl>
      <w:tblPr>
        <w:tblStyle w:val="20"/>
        <w:tblW w:w="93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3"/>
        <w:gridCol w:w="434"/>
        <w:gridCol w:w="1382"/>
        <w:gridCol w:w="6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3" w:type="dxa"/>
            <w:tcBorders>
              <w:top w:val="single" w:color="auto" w:sz="12" w:space="0"/>
              <w:left w:val="single" w:color="auto" w:sz="12" w:space="0"/>
              <w:bottom w:val="doub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序号</w:t>
            </w:r>
          </w:p>
        </w:tc>
        <w:tc>
          <w:tcPr>
            <w:tcW w:w="1816" w:type="dxa"/>
            <w:gridSpan w:val="2"/>
            <w:tcBorders>
              <w:top w:val="single" w:color="auto" w:sz="12" w:space="0"/>
              <w:left w:val="single" w:color="auto" w:sz="6" w:space="0"/>
              <w:bottom w:val="doub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名称</w:t>
            </w:r>
          </w:p>
        </w:tc>
        <w:tc>
          <w:tcPr>
            <w:tcW w:w="6797" w:type="dxa"/>
            <w:tcBorders>
              <w:top w:val="single" w:color="auto" w:sz="12" w:space="0"/>
              <w:left w:val="single" w:color="auto" w:sz="6" w:space="0"/>
              <w:bottom w:val="double" w:color="auto" w:sz="6" w:space="0"/>
              <w:right w:val="single" w:color="auto" w:sz="12" w:space="0"/>
            </w:tcBorders>
            <w:vAlign w:val="center"/>
          </w:tcPr>
          <w:p>
            <w:pPr>
              <w:jc w:val="center"/>
              <w:rPr>
                <w:rFonts w:ascii="宋体" w:hAnsi="宋体" w:cs="宋体"/>
                <w:b/>
                <w:szCs w:val="21"/>
              </w:rPr>
            </w:pPr>
            <w:r>
              <w:rPr>
                <w:rFonts w:hint="eastAsia" w:ascii="宋体" w:hAnsi="宋体" w:cs="宋体"/>
                <w:b/>
                <w:szCs w:val="21"/>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3" w:type="dxa"/>
            <w:tcBorders>
              <w:top w:val="nil"/>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1</w:t>
            </w:r>
          </w:p>
        </w:tc>
        <w:tc>
          <w:tcPr>
            <w:tcW w:w="1816" w:type="dxa"/>
            <w:gridSpan w:val="2"/>
            <w:tcBorders>
              <w:top w:val="nil"/>
              <w:left w:val="single" w:color="auto" w:sz="6" w:space="0"/>
              <w:bottom w:val="single" w:color="auto" w:sz="6" w:space="0"/>
              <w:right w:val="single" w:color="auto" w:sz="6" w:space="0"/>
            </w:tcBorders>
            <w:vAlign w:val="center"/>
          </w:tcPr>
          <w:p>
            <w:pPr>
              <w:jc w:val="left"/>
              <w:rPr>
                <w:rFonts w:ascii="宋体" w:hAnsi="宋体" w:cs="宋体"/>
                <w:bCs/>
                <w:szCs w:val="21"/>
              </w:rPr>
            </w:pPr>
            <w:r>
              <w:rPr>
                <w:rFonts w:hint="eastAsia" w:ascii="宋体" w:hAnsi="宋体" w:cs="宋体"/>
                <w:bCs/>
                <w:szCs w:val="21"/>
              </w:rPr>
              <w:t>项目名称</w:t>
            </w:r>
          </w:p>
        </w:tc>
        <w:tc>
          <w:tcPr>
            <w:tcW w:w="6797" w:type="dxa"/>
            <w:tcBorders>
              <w:top w:val="nil"/>
              <w:left w:val="single" w:color="auto" w:sz="6" w:space="0"/>
              <w:bottom w:val="single" w:color="auto" w:sz="6" w:space="0"/>
              <w:right w:val="single" w:color="auto" w:sz="12" w:space="0"/>
            </w:tcBorders>
            <w:vAlign w:val="center"/>
          </w:tcPr>
          <w:p>
            <w:pPr>
              <w:jc w:val="left"/>
              <w:rPr>
                <w:rFonts w:hint="eastAsia" w:ascii="宋体" w:hAnsi="宋体" w:eastAsia="宋体" w:cs="宋体"/>
                <w:bCs/>
                <w:szCs w:val="21"/>
                <w:lang w:eastAsia="zh-CN"/>
              </w:rPr>
            </w:pPr>
            <w:r>
              <w:rPr>
                <w:rFonts w:hint="eastAsia"/>
                <w:sz w:val="21"/>
                <w:szCs w:val="21"/>
                <w:shd w:val="clear" w:color="auto" w:fill="FFFFFF"/>
                <w:lang w:val="en-US" w:eastAsia="zh-CN"/>
              </w:rPr>
              <w:t>月浦镇段泾村土地整理复垦项目（沪宝耕立【2021】0007号）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2</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bCs/>
                <w:szCs w:val="21"/>
              </w:rPr>
            </w:pPr>
            <w:r>
              <w:rPr>
                <w:rFonts w:hint="eastAsia" w:ascii="宋体" w:hAnsi="宋体" w:cs="宋体"/>
                <w:bCs/>
                <w:szCs w:val="21"/>
              </w:rPr>
              <w:t>采购人</w:t>
            </w:r>
          </w:p>
        </w:tc>
        <w:tc>
          <w:tcPr>
            <w:tcW w:w="6797" w:type="dxa"/>
            <w:tcBorders>
              <w:top w:val="single" w:color="auto" w:sz="6" w:space="0"/>
              <w:left w:val="single" w:color="auto" w:sz="6" w:space="0"/>
              <w:bottom w:val="single" w:color="auto" w:sz="6" w:space="0"/>
              <w:right w:val="single" w:color="auto" w:sz="12" w:space="0"/>
            </w:tcBorders>
            <w:vAlign w:val="center"/>
          </w:tcPr>
          <w:p>
            <w:pPr>
              <w:jc w:val="left"/>
              <w:rPr>
                <w:rFonts w:cs="Arial" w:asciiTheme="minorEastAsia" w:hAnsiTheme="minorEastAsia"/>
                <w:szCs w:val="21"/>
              </w:rPr>
            </w:pPr>
            <w:r>
              <w:rPr>
                <w:rFonts w:hint="eastAsia" w:cs="Arial" w:asciiTheme="minorEastAsia" w:hAnsiTheme="minorEastAsia"/>
                <w:szCs w:val="21"/>
              </w:rPr>
              <w:t>采购人：上海市宝山区</w:t>
            </w:r>
            <w:r>
              <w:rPr>
                <w:rFonts w:hint="eastAsia" w:cs="Arial" w:asciiTheme="minorEastAsia" w:hAnsiTheme="minorEastAsia"/>
                <w:szCs w:val="21"/>
                <w:lang w:eastAsia="zh-CN"/>
              </w:rPr>
              <w:t>月浦镇</w:t>
            </w:r>
            <w:r>
              <w:rPr>
                <w:rFonts w:hint="eastAsia" w:cs="Arial" w:asciiTheme="minorEastAsia" w:hAnsiTheme="minorEastAsia"/>
                <w:szCs w:val="21"/>
              </w:rPr>
              <w:t>人民政府</w:t>
            </w:r>
          </w:p>
          <w:p>
            <w:pPr>
              <w:jc w:val="left"/>
              <w:rPr>
                <w:rFonts w:cs="Arial" w:asciiTheme="minorEastAsia" w:hAnsiTheme="minorEastAsia"/>
                <w:szCs w:val="21"/>
              </w:rPr>
            </w:pPr>
            <w:r>
              <w:rPr>
                <w:rFonts w:hint="eastAsia" w:cs="Arial" w:asciiTheme="minorEastAsia" w:hAnsiTheme="minorEastAsia"/>
                <w:szCs w:val="21"/>
              </w:rPr>
              <w:t>地址：</w:t>
            </w:r>
            <w:r>
              <w:rPr>
                <w:rFonts w:hint="eastAsia"/>
                <w:sz w:val="21"/>
                <w:szCs w:val="21"/>
                <w:shd w:val="clear" w:color="auto" w:fill="FFFFFF"/>
                <w:lang w:val="en-US" w:eastAsia="zh-CN"/>
              </w:rPr>
              <w:t>上海市宝山区月罗路200号</w:t>
            </w:r>
          </w:p>
          <w:p>
            <w:pPr>
              <w:jc w:val="left"/>
              <w:rPr>
                <w:rFonts w:hint="eastAsia" w:eastAsia="宋体" w:cs="Arial" w:asciiTheme="minorEastAsia" w:hAnsiTheme="minorEastAsia"/>
                <w:szCs w:val="21"/>
                <w:lang w:eastAsia="zh-CN"/>
              </w:rPr>
            </w:pPr>
            <w:r>
              <w:rPr>
                <w:rFonts w:hint="eastAsia" w:cs="Arial" w:asciiTheme="minorEastAsia" w:hAnsiTheme="minorEastAsia"/>
                <w:szCs w:val="21"/>
              </w:rPr>
              <w:t>联系人：</w:t>
            </w:r>
            <w:r>
              <w:rPr>
                <w:rFonts w:hint="eastAsia" w:cs="Arial" w:asciiTheme="minorEastAsia" w:hAnsiTheme="minorEastAsia"/>
                <w:szCs w:val="21"/>
                <w:lang w:eastAsia="zh-CN"/>
              </w:rPr>
              <w:t>怀兆雄</w:t>
            </w:r>
          </w:p>
          <w:p>
            <w:pPr>
              <w:jc w:val="left"/>
              <w:rPr>
                <w:rFonts w:cs="Arial" w:asciiTheme="minorEastAsia" w:hAnsiTheme="minorEastAsia"/>
                <w:szCs w:val="21"/>
              </w:rPr>
            </w:pPr>
            <w:r>
              <w:rPr>
                <w:rFonts w:hint="eastAsia" w:cs="Arial" w:asciiTheme="minorEastAsia" w:hAnsiTheme="minorEastAsia"/>
                <w:szCs w:val="21"/>
              </w:rPr>
              <w:t>电话：</w:t>
            </w:r>
            <w:r>
              <w:rPr>
                <w:rFonts w:hint="eastAsia" w:cs="Arial" w:asciiTheme="minorEastAsia" w:hAnsiTheme="minorEastAsia"/>
                <w:szCs w:val="21"/>
                <w:lang w:val="en-US" w:eastAsia="zh-CN"/>
              </w:rPr>
              <w:t>13918397220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3</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bCs/>
                <w:szCs w:val="21"/>
              </w:rPr>
            </w:pPr>
            <w:r>
              <w:rPr>
                <w:rFonts w:hint="eastAsia" w:ascii="宋体" w:hAnsi="宋体" w:cs="宋体"/>
                <w:bCs/>
                <w:szCs w:val="21"/>
              </w:rPr>
              <w:t>代理机构</w:t>
            </w:r>
          </w:p>
        </w:tc>
        <w:tc>
          <w:tcPr>
            <w:tcW w:w="6797" w:type="dxa"/>
            <w:tcBorders>
              <w:top w:val="single" w:color="auto" w:sz="6" w:space="0"/>
              <w:left w:val="single" w:color="auto" w:sz="6" w:space="0"/>
              <w:bottom w:val="single" w:color="auto" w:sz="6" w:space="0"/>
              <w:right w:val="single" w:color="auto" w:sz="12" w:space="0"/>
            </w:tcBorders>
            <w:vAlign w:val="center"/>
          </w:tcPr>
          <w:p>
            <w:pPr>
              <w:jc w:val="left"/>
              <w:rPr>
                <w:rFonts w:cs="Arial" w:asciiTheme="minorEastAsia" w:hAnsiTheme="minorEastAsia"/>
                <w:szCs w:val="21"/>
              </w:rPr>
            </w:pPr>
            <w:r>
              <w:rPr>
                <w:rFonts w:hint="eastAsia" w:cs="Arial" w:asciiTheme="minorEastAsia" w:hAnsiTheme="minorEastAsia"/>
                <w:szCs w:val="21"/>
              </w:rPr>
              <w:t>采购代理机构：上海熙运工程咨询有限公司</w:t>
            </w:r>
          </w:p>
          <w:p>
            <w:pPr>
              <w:jc w:val="left"/>
              <w:rPr>
                <w:rFonts w:cs="Arial" w:asciiTheme="minorEastAsia" w:hAnsiTheme="minorEastAsia"/>
                <w:szCs w:val="21"/>
              </w:rPr>
            </w:pPr>
            <w:r>
              <w:rPr>
                <w:rFonts w:hint="eastAsia" w:cs="Arial" w:asciiTheme="minorEastAsia" w:hAnsiTheme="minorEastAsia"/>
                <w:szCs w:val="21"/>
              </w:rPr>
              <w:t>地 址：</w:t>
            </w:r>
            <w:r>
              <w:rPr>
                <w:rFonts w:hint="eastAsia"/>
                <w:sz w:val="21"/>
                <w:szCs w:val="21"/>
                <w:shd w:val="clear" w:color="auto" w:fill="FFFFFF"/>
                <w:lang w:val="en-US" w:eastAsia="zh-CN"/>
              </w:rPr>
              <w:t>宝山区友谊</w:t>
            </w:r>
            <w:r>
              <w:rPr>
                <w:rFonts w:hint="eastAsia" w:cs="Arial" w:asciiTheme="minorEastAsia" w:hAnsiTheme="minorEastAsia"/>
                <w:szCs w:val="21"/>
                <w:lang w:val="en-US" w:eastAsia="zh-CN"/>
              </w:rPr>
              <w:t>路1538弄15号</w:t>
            </w:r>
          </w:p>
          <w:p>
            <w:pPr>
              <w:jc w:val="left"/>
              <w:rPr>
                <w:rFonts w:cs="Arial" w:asciiTheme="minorEastAsia" w:hAnsiTheme="minorEastAsia"/>
                <w:szCs w:val="21"/>
              </w:rPr>
            </w:pPr>
            <w:r>
              <w:rPr>
                <w:rFonts w:hint="eastAsia" w:cs="Arial" w:asciiTheme="minorEastAsia" w:hAnsiTheme="minorEastAsia"/>
                <w:szCs w:val="21"/>
              </w:rPr>
              <w:t>联系人：李溪</w:t>
            </w:r>
          </w:p>
          <w:p>
            <w:pPr>
              <w:jc w:val="left"/>
              <w:rPr>
                <w:rFonts w:hint="eastAsia" w:eastAsia="宋体" w:cs="Arial" w:asciiTheme="minorEastAsia" w:hAnsiTheme="minorEastAsia"/>
                <w:szCs w:val="21"/>
                <w:lang w:eastAsia="zh-CN"/>
              </w:rPr>
            </w:pPr>
            <w:r>
              <w:rPr>
                <w:rFonts w:hint="eastAsia" w:cs="Arial" w:asciiTheme="minorEastAsia" w:hAnsiTheme="minorEastAsia"/>
                <w:szCs w:val="21"/>
              </w:rPr>
              <w:t>电话：</w:t>
            </w:r>
            <w:r>
              <w:rPr>
                <w:rFonts w:hint="eastAsia" w:cs="Arial" w:asciiTheme="minorEastAsia" w:hAnsiTheme="minorEastAsia"/>
                <w:szCs w:val="21"/>
                <w:lang w:eastAsia="zh-CN"/>
              </w:rPr>
              <w:t>13122120725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4</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360" w:lineRule="auto"/>
              <w:rPr>
                <w:rFonts w:cs="宋体" w:asciiTheme="minorEastAsia" w:hAnsiTheme="minorEastAsia"/>
                <w:b/>
                <w:kern w:val="0"/>
                <w:szCs w:val="21"/>
              </w:rPr>
            </w:pPr>
            <w:r>
              <w:rPr>
                <w:rFonts w:hint="eastAsia" w:cs="宋体" w:asciiTheme="minorEastAsia" w:hAnsiTheme="minorEastAsia"/>
                <w:b/>
                <w:kern w:val="0"/>
                <w:szCs w:val="21"/>
              </w:rPr>
              <w:t>最高投标限价</w:t>
            </w:r>
          </w:p>
        </w:tc>
        <w:tc>
          <w:tcPr>
            <w:tcW w:w="6797" w:type="dxa"/>
            <w:tcBorders>
              <w:top w:val="single" w:color="auto" w:sz="6" w:space="0"/>
              <w:left w:val="single" w:color="auto" w:sz="6" w:space="0"/>
              <w:bottom w:val="single" w:color="auto" w:sz="6" w:space="0"/>
              <w:right w:val="single" w:color="auto" w:sz="12" w:space="0"/>
            </w:tcBorders>
            <w:vAlign w:val="center"/>
          </w:tcPr>
          <w:p>
            <w:pPr>
              <w:pStyle w:val="17"/>
              <w:spacing w:beforeAutospacing="0" w:afterAutospacing="0" w:line="360" w:lineRule="auto"/>
              <w:rPr>
                <w:rFonts w:asciiTheme="minorEastAsia" w:hAnsiTheme="minorEastAsia"/>
                <w:b/>
                <w:szCs w:val="21"/>
              </w:rPr>
            </w:pPr>
            <w:r>
              <w:rPr>
                <w:rFonts w:hint="eastAsia" w:cs="Arial" w:asciiTheme="minorEastAsia" w:hAnsiTheme="minorEastAsia"/>
                <w:b/>
                <w:sz w:val="21"/>
                <w:szCs w:val="21"/>
              </w:rPr>
              <w:t>最高投标限</w:t>
            </w:r>
            <w:r>
              <w:rPr>
                <w:rFonts w:hint="eastAsia" w:cs="Arial" w:asciiTheme="minorEastAsia" w:hAnsiTheme="minorEastAsia"/>
                <w:b/>
                <w:sz w:val="21"/>
                <w:szCs w:val="21"/>
                <w:highlight w:val="none"/>
              </w:rPr>
              <w:t>价为</w:t>
            </w:r>
            <w:r>
              <w:rPr>
                <w:rFonts w:hint="eastAsia"/>
                <w:b/>
                <w:bCs/>
                <w:sz w:val="21"/>
                <w:szCs w:val="21"/>
                <w:highlight w:val="none"/>
                <w:shd w:val="clear" w:color="auto" w:fill="FFFFFF"/>
                <w:lang w:val="en-US" w:eastAsia="zh-CN"/>
              </w:rPr>
              <w:t>82.8086</w:t>
            </w:r>
            <w:r>
              <w:rPr>
                <w:rFonts w:hint="eastAsia" w:cs="Arial" w:asciiTheme="minorEastAsia" w:hAnsiTheme="minorEastAsia"/>
                <w:b/>
                <w:sz w:val="21"/>
                <w:szCs w:val="21"/>
                <w:highlight w:val="none"/>
              </w:rPr>
              <w:t>万元</w:t>
            </w:r>
            <w:r>
              <w:rPr>
                <w:rFonts w:hint="eastAsia" w:cs="Arial" w:asciiTheme="minorEastAsia" w:hAnsiTheme="minorEastAsia"/>
                <w:b/>
                <w:sz w:val="21"/>
                <w:szCs w:val="21"/>
              </w:rPr>
              <w:t>，工程量清单内所列项目均属施工承包范围。磋商报价超出最高投标限价者作无效标处理。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4"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5</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bCs/>
                <w:szCs w:val="21"/>
              </w:rPr>
            </w:pPr>
            <w:r>
              <w:rPr>
                <w:rFonts w:hint="eastAsia" w:ascii="宋体" w:hAnsi="宋体" w:cs="宋体"/>
                <w:bCs/>
                <w:szCs w:val="21"/>
              </w:rPr>
              <w:t>澄清和答疑</w:t>
            </w:r>
          </w:p>
        </w:tc>
        <w:tc>
          <w:tcPr>
            <w:tcW w:w="6797"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cs="宋体"/>
                <w:bCs/>
                <w:szCs w:val="21"/>
              </w:rPr>
            </w:pPr>
            <w:r>
              <w:rPr>
                <w:rFonts w:hint="eastAsia" w:ascii="宋体" w:hAnsi="宋体" w:cs="宋体"/>
                <w:bCs/>
                <w:szCs w:val="21"/>
              </w:rPr>
              <w:t>任何要求对磋商文件进行澄清的供应商，均应在磋商响应截止期5天以前，按《磋商邀请书》中的地址以书面形式（必须加盖供应商单位公章）通知采购代理机构。对在磋商响应截止期5天以前收到的澄清要求，招标人及采购代理机构需要对磋商文件进行澄清、答复的；或者在磋商响应截止前的任何时候，招标人及采购代理机构需要对磋商文件进行补充或修改的，招标人及采购代理机构会通过“</w:t>
            </w:r>
            <w:r>
              <w:rPr>
                <w:rFonts w:hint="eastAsia" w:ascii="宋体" w:hAnsi="宋体" w:cs="宋体"/>
                <w:szCs w:val="21"/>
                <w:shd w:val="clear" w:color="auto" w:fill="FFFFFF"/>
              </w:rPr>
              <w:t>上海宝山政府门户网站</w:t>
            </w:r>
            <w:r>
              <w:rPr>
                <w:rFonts w:hint="eastAsia" w:ascii="宋体" w:hAnsi="宋体" w:cs="宋体"/>
                <w:bCs/>
                <w:szCs w:val="21"/>
              </w:rPr>
              <w:t>”以更正公告形式发布。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6</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bCs/>
                <w:szCs w:val="21"/>
              </w:rPr>
            </w:pPr>
            <w:r>
              <w:rPr>
                <w:rFonts w:hint="eastAsia" w:ascii="宋体" w:hAnsi="宋体" w:cs="宋体"/>
                <w:bCs/>
                <w:szCs w:val="21"/>
              </w:rPr>
              <w:t>磋商保证金</w:t>
            </w:r>
          </w:p>
        </w:tc>
        <w:tc>
          <w:tcPr>
            <w:tcW w:w="6797"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cs="宋体"/>
                <w:bCs/>
                <w:szCs w:val="21"/>
              </w:rPr>
            </w:pPr>
            <w:r>
              <w:rPr>
                <w:rFonts w:hint="eastAsia" w:ascii="宋体" w:hAnsi="宋体" w:cs="宋体"/>
                <w:b/>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7</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bCs/>
                <w:szCs w:val="21"/>
              </w:rPr>
            </w:pPr>
            <w:r>
              <w:rPr>
                <w:rFonts w:hint="eastAsia" w:ascii="宋体" w:hAnsi="宋体" w:cs="宋体"/>
                <w:bCs/>
                <w:szCs w:val="21"/>
              </w:rPr>
              <w:t>投标有效期</w:t>
            </w:r>
          </w:p>
        </w:tc>
        <w:tc>
          <w:tcPr>
            <w:tcW w:w="6797"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cs="宋体"/>
                <w:bCs/>
                <w:szCs w:val="21"/>
              </w:rPr>
            </w:pPr>
            <w:r>
              <w:rPr>
                <w:rFonts w:hint="eastAsia" w:ascii="宋体" w:hAnsi="宋体" w:cs="宋体"/>
                <w:bCs/>
                <w:szCs w:val="21"/>
              </w:rPr>
              <w:t>开标后90天。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8</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cs="宋体"/>
                <w:bCs/>
                <w:szCs w:val="21"/>
              </w:rPr>
            </w:pPr>
            <w:r>
              <w:rPr>
                <w:rFonts w:hint="eastAsia" w:ascii="宋体" w:hAnsi="宋体" w:cs="宋体"/>
                <w:szCs w:val="21"/>
              </w:rPr>
              <w:t>响应文件份数</w:t>
            </w:r>
          </w:p>
        </w:tc>
        <w:tc>
          <w:tcPr>
            <w:tcW w:w="6797"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szCs w:val="21"/>
                <w:u w:val="single"/>
              </w:rPr>
            </w:pPr>
            <w:r>
              <w:rPr>
                <w:rFonts w:hint="eastAsia" w:ascii="宋体" w:hAnsi="宋体" w:cs="宋体"/>
                <w:szCs w:val="21"/>
                <w:u w:val="single"/>
              </w:rPr>
              <w:t xml:space="preserve">正本1份，副本3份；商务部分、技术部分，附册等 </w:t>
            </w:r>
          </w:p>
          <w:p>
            <w:pPr>
              <w:rPr>
                <w:rFonts w:ascii="宋体" w:hAnsi="宋体" w:cs="宋体"/>
                <w:bCs/>
                <w:szCs w:val="21"/>
              </w:rPr>
            </w:pPr>
            <w:r>
              <w:rPr>
                <w:rFonts w:hint="eastAsia" w:ascii="宋体" w:hAnsi="宋体" w:cs="宋体"/>
                <w:szCs w:val="21"/>
              </w:rPr>
              <w:t>响应文件电子版</w:t>
            </w:r>
            <w:r>
              <w:rPr>
                <w:rFonts w:hint="eastAsia" w:ascii="宋体" w:hAnsi="宋体" w:cs="宋体"/>
                <w:szCs w:val="21"/>
                <w:u w:val="single"/>
              </w:rPr>
              <w:t>1 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50"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9</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cs="宋体"/>
                <w:bCs/>
                <w:szCs w:val="21"/>
              </w:rPr>
            </w:pPr>
            <w:r>
              <w:rPr>
                <w:rFonts w:hint="eastAsia" w:ascii="宋体" w:hAnsi="宋体" w:cs="宋体"/>
                <w:szCs w:val="21"/>
              </w:rPr>
              <w:t>装订要求</w:t>
            </w:r>
          </w:p>
        </w:tc>
        <w:tc>
          <w:tcPr>
            <w:tcW w:w="6797"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szCs w:val="21"/>
              </w:rPr>
            </w:pPr>
            <w:r>
              <w:rPr>
                <w:rFonts w:hint="eastAsia" w:ascii="宋体" w:hAnsi="宋体" w:cs="宋体"/>
                <w:szCs w:val="21"/>
              </w:rPr>
              <w:t>■不分册装订</w:t>
            </w:r>
          </w:p>
          <w:p>
            <w:pPr>
              <w:rPr>
                <w:rFonts w:ascii="宋体" w:hAnsi="宋体" w:cs="宋体"/>
                <w:szCs w:val="21"/>
              </w:rPr>
            </w:pPr>
            <w:r>
              <w:rPr>
                <w:rFonts w:hint="eastAsia" w:ascii="宋体" w:hAnsi="宋体" w:cs="宋体"/>
                <w:szCs w:val="21"/>
              </w:rPr>
              <w:sym w:font="Wingdings 2" w:char="00A3"/>
            </w:r>
            <w:r>
              <w:rPr>
                <w:rFonts w:hint="eastAsia" w:ascii="宋体" w:hAnsi="宋体" w:cs="宋体"/>
                <w:szCs w:val="21"/>
              </w:rPr>
              <w:t>分册装订（本项目不适用)</w:t>
            </w:r>
          </w:p>
          <w:p>
            <w:pPr>
              <w:snapToGrid w:val="0"/>
              <w:spacing w:line="360" w:lineRule="auto"/>
              <w:rPr>
                <w:rFonts w:ascii="宋体" w:hAnsi="宋体" w:cs="宋体"/>
                <w:szCs w:val="21"/>
                <w:u w:val="single"/>
              </w:rPr>
            </w:pPr>
            <w:r>
              <w:rPr>
                <w:rFonts w:hint="eastAsia" w:ascii="宋体" w:hAnsi="宋体" w:cs="宋体"/>
                <w:szCs w:val="21"/>
              </w:rPr>
              <w:t>商务标包括：</w:t>
            </w:r>
            <w:r>
              <w:rPr>
                <w:rFonts w:hint="eastAsia" w:ascii="宋体" w:hAnsi="宋体" w:cs="宋体"/>
                <w:szCs w:val="21"/>
                <w:u w:val="single"/>
              </w:rPr>
              <w:t>投标承诺书（格式见附件）；投标书；施工投标标书情况汇总表；投标标书综合说明；工程量清单投标报价书等相关内容。</w:t>
            </w:r>
          </w:p>
          <w:p>
            <w:pPr>
              <w:snapToGrid w:val="0"/>
              <w:spacing w:line="360" w:lineRule="auto"/>
              <w:rPr>
                <w:rFonts w:ascii="宋体" w:hAnsi="宋体" w:cs="宋体"/>
                <w:szCs w:val="21"/>
              </w:rPr>
            </w:pPr>
            <w:r>
              <w:rPr>
                <w:rFonts w:hint="eastAsia" w:ascii="宋体" w:hAnsi="宋体" w:cs="宋体"/>
                <w:szCs w:val="21"/>
              </w:rPr>
              <w:t>技术标包括：</w:t>
            </w:r>
            <w:r>
              <w:rPr>
                <w:rFonts w:hint="eastAsia" w:ascii="宋体" w:hAnsi="宋体" w:cs="宋体"/>
                <w:szCs w:val="21"/>
                <w:u w:val="single"/>
              </w:rPr>
              <w:t>技术标总说明；主要分部分项工程施工方案；施工总平面布置图（可按照施工准备阶段、等不同阶段进行绘制）；保证安全、文明生产的技术措施；保证工程质量的技术措施；其他需采取的技术措施；施工进度计划（包括总进度计划和单位工程进度计划，可用网络图或横道图表示；）各种需用计划；投标人的简况、项目经理有关资料及项目管理机构配备情况；本项目的关键技术、重点、难点的技术措施等相关的内容。</w:t>
            </w:r>
          </w:p>
          <w:p>
            <w:pPr>
              <w:spacing w:line="288" w:lineRule="auto"/>
              <w:rPr>
                <w:rFonts w:ascii="宋体" w:hAnsi="宋体" w:cs="宋体"/>
                <w:szCs w:val="21"/>
              </w:rPr>
            </w:pPr>
            <w:r>
              <w:rPr>
                <w:rFonts w:hint="eastAsia" w:ascii="宋体" w:hAnsi="宋体" w:cs="宋体"/>
                <w:szCs w:val="21"/>
              </w:rPr>
              <w:t>附册包括：</w:t>
            </w:r>
            <w:r>
              <w:rPr>
                <w:rFonts w:hint="eastAsia" w:ascii="宋体" w:hAnsi="宋体" w:cs="宋体"/>
                <w:szCs w:val="21"/>
                <w:u w:val="single"/>
              </w:rPr>
              <w:t>其他资料（如各类荣誉、奖励及投标人和从业人员的业绩、证书等材料的简况等的内容。</w:t>
            </w:r>
          </w:p>
          <w:p>
            <w:pPr>
              <w:rPr>
                <w:rFonts w:ascii="宋体" w:hAnsi="宋体" w:cs="宋体"/>
                <w:bCs/>
                <w:szCs w:val="21"/>
              </w:rPr>
            </w:pPr>
            <w:r>
              <w:rPr>
                <w:rFonts w:hint="eastAsia" w:ascii="宋体" w:hAnsi="宋体" w:cs="宋体"/>
                <w:szCs w:val="21"/>
              </w:rPr>
              <w:t>每册采用</w:t>
            </w:r>
            <w:r>
              <w:rPr>
                <w:rFonts w:hint="eastAsia" w:ascii="宋体" w:hAnsi="宋体" w:cs="宋体"/>
                <w:szCs w:val="21"/>
                <w:u w:val="single"/>
              </w:rPr>
              <w:t>密封</w:t>
            </w:r>
            <w:r>
              <w:rPr>
                <w:rFonts w:hint="eastAsia" w:ascii="宋体" w:hAnsi="宋体" w:cs="宋体"/>
                <w:szCs w:val="21"/>
              </w:rPr>
              <w:t>方式装订，装订应牢固、不易拆散和换页，不得采用活页装订，不得采用硬封面装订（投标文件应采用双面打印，图纸除外。）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10</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cs="宋体"/>
                <w:bCs/>
                <w:szCs w:val="21"/>
              </w:rPr>
            </w:pPr>
            <w:r>
              <w:rPr>
                <w:rFonts w:hint="eastAsia" w:ascii="宋体" w:hAnsi="宋体" w:cs="宋体"/>
                <w:szCs w:val="21"/>
              </w:rPr>
              <w:t>资质要求</w:t>
            </w:r>
          </w:p>
        </w:tc>
        <w:tc>
          <w:tcPr>
            <w:tcW w:w="6797" w:type="dxa"/>
            <w:tcBorders>
              <w:top w:val="single" w:color="auto" w:sz="6" w:space="0"/>
              <w:left w:val="single" w:color="auto" w:sz="6" w:space="0"/>
              <w:bottom w:val="single" w:color="auto" w:sz="6" w:space="0"/>
              <w:right w:val="single" w:color="auto" w:sz="12" w:space="0"/>
            </w:tcBorders>
            <w:vAlign w:val="center"/>
          </w:tcPr>
          <w:p>
            <w:pPr>
              <w:spacing w:line="360" w:lineRule="auto"/>
              <w:jc w:val="left"/>
              <w:rPr>
                <w:rFonts w:ascii="宋体" w:hAnsi="宋体" w:cs="宋体"/>
                <w:color w:val="000000"/>
                <w:szCs w:val="21"/>
              </w:rPr>
            </w:pPr>
            <w:r>
              <w:rPr>
                <w:rFonts w:hint="eastAsia" w:ascii="宋体" w:hAnsi="宋体" w:cs="宋体"/>
                <w:szCs w:val="21"/>
              </w:rPr>
              <w:t>详见竞争性磋商公告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jc w:val="center"/>
        </w:trPr>
        <w:tc>
          <w:tcPr>
            <w:tcW w:w="703" w:type="dxa"/>
            <w:tcBorders>
              <w:top w:val="single" w:color="auto" w:sz="6" w:space="0"/>
              <w:left w:val="single" w:color="auto" w:sz="12" w:space="0"/>
              <w:bottom w:val="single" w:color="auto" w:sz="4" w:space="0"/>
              <w:right w:val="single" w:color="auto" w:sz="6" w:space="0"/>
            </w:tcBorders>
            <w:vAlign w:val="center"/>
          </w:tcPr>
          <w:p>
            <w:pPr>
              <w:jc w:val="center"/>
              <w:rPr>
                <w:rFonts w:ascii="宋体" w:hAnsi="宋体" w:cs="宋体"/>
                <w:b/>
                <w:szCs w:val="21"/>
              </w:rPr>
            </w:pPr>
            <w:r>
              <w:rPr>
                <w:rFonts w:hint="eastAsia" w:ascii="宋体" w:hAnsi="宋体" w:cs="宋体"/>
                <w:b/>
                <w:szCs w:val="21"/>
              </w:rPr>
              <w:t>11</w:t>
            </w:r>
          </w:p>
        </w:tc>
        <w:tc>
          <w:tcPr>
            <w:tcW w:w="1816" w:type="dxa"/>
            <w:gridSpan w:val="2"/>
            <w:tcBorders>
              <w:top w:val="single" w:color="auto" w:sz="6" w:space="0"/>
              <w:left w:val="single" w:color="auto" w:sz="6" w:space="0"/>
              <w:bottom w:val="single" w:color="auto" w:sz="4" w:space="0"/>
              <w:right w:val="single" w:color="auto" w:sz="6" w:space="0"/>
            </w:tcBorders>
            <w:vAlign w:val="center"/>
          </w:tcPr>
          <w:p>
            <w:pPr>
              <w:jc w:val="left"/>
              <w:rPr>
                <w:rFonts w:ascii="宋体" w:hAnsi="宋体" w:cs="宋体"/>
                <w:bCs/>
                <w:szCs w:val="21"/>
              </w:rPr>
            </w:pPr>
            <w:r>
              <w:rPr>
                <w:rFonts w:hint="eastAsia" w:ascii="宋体" w:hAnsi="宋体" w:cs="宋体"/>
                <w:bCs/>
                <w:szCs w:val="21"/>
              </w:rPr>
              <w:t>评审办法</w:t>
            </w:r>
          </w:p>
        </w:tc>
        <w:tc>
          <w:tcPr>
            <w:tcW w:w="6797" w:type="dxa"/>
            <w:tcBorders>
              <w:top w:val="single" w:color="auto" w:sz="6" w:space="0"/>
              <w:left w:val="single" w:color="auto" w:sz="6" w:space="0"/>
              <w:bottom w:val="single" w:color="auto" w:sz="4" w:space="0"/>
              <w:right w:val="single" w:color="auto" w:sz="12" w:space="0"/>
            </w:tcBorders>
            <w:vAlign w:val="center"/>
          </w:tcPr>
          <w:p>
            <w:pPr>
              <w:jc w:val="left"/>
              <w:rPr>
                <w:rFonts w:ascii="宋体" w:hAnsi="宋体" w:cs="宋体"/>
                <w:bCs/>
                <w:szCs w:val="21"/>
              </w:rPr>
            </w:pPr>
            <w:r>
              <w:rPr>
                <w:rFonts w:hint="eastAsia" w:ascii="宋体" w:hAnsi="宋体" w:cs="宋体"/>
                <w:bCs/>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12</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bCs/>
                <w:szCs w:val="21"/>
              </w:rPr>
            </w:pPr>
            <w:r>
              <w:rPr>
                <w:rFonts w:hint="eastAsia" w:ascii="宋体" w:hAnsi="宋体" w:cs="宋体"/>
                <w:bCs/>
                <w:szCs w:val="21"/>
              </w:rPr>
              <w:t>磋商响应截止期</w:t>
            </w:r>
          </w:p>
        </w:tc>
        <w:tc>
          <w:tcPr>
            <w:tcW w:w="6797"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cs="宋体"/>
                <w:bCs/>
                <w:szCs w:val="21"/>
                <w:highlight w:val="yellow"/>
              </w:rPr>
            </w:pPr>
            <w:r>
              <w:rPr>
                <w:rFonts w:hint="eastAsia" w:ascii="宋体" w:hAnsi="宋体" w:cs="宋体"/>
                <w:szCs w:val="21"/>
              </w:rPr>
              <w:t>详见竞争性磋商公告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13</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bCs/>
                <w:szCs w:val="21"/>
              </w:rPr>
            </w:pPr>
            <w:r>
              <w:rPr>
                <w:rFonts w:hint="eastAsia" w:ascii="宋体" w:hAnsi="宋体" w:cs="宋体"/>
                <w:bCs/>
                <w:szCs w:val="21"/>
              </w:rPr>
              <w:t>磋商日期</w:t>
            </w:r>
          </w:p>
        </w:tc>
        <w:tc>
          <w:tcPr>
            <w:tcW w:w="6797"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cs="宋体"/>
                <w:bCs/>
                <w:szCs w:val="21"/>
                <w:highlight w:val="yellow"/>
              </w:rPr>
            </w:pPr>
            <w:r>
              <w:rPr>
                <w:rFonts w:hint="eastAsia" w:ascii="宋体" w:hAnsi="宋体" w:cs="宋体"/>
                <w:szCs w:val="21"/>
              </w:rPr>
              <w:t>详见竞争性磋商公告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14</w:t>
            </w:r>
          </w:p>
        </w:tc>
        <w:tc>
          <w:tcPr>
            <w:tcW w:w="1816" w:type="dxa"/>
            <w:gridSpan w:val="2"/>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bCs/>
                <w:szCs w:val="21"/>
              </w:rPr>
            </w:pPr>
            <w:r>
              <w:rPr>
                <w:rFonts w:hint="eastAsia" w:ascii="宋体" w:hAnsi="宋体" w:cs="宋体"/>
                <w:bCs/>
                <w:szCs w:val="21"/>
              </w:rPr>
              <w:t>磋商地点</w:t>
            </w:r>
          </w:p>
        </w:tc>
        <w:tc>
          <w:tcPr>
            <w:tcW w:w="6797"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cs="宋体"/>
                <w:bCs/>
                <w:szCs w:val="21"/>
              </w:rPr>
            </w:pPr>
            <w:r>
              <w:rPr>
                <w:rFonts w:hint="eastAsia" w:ascii="宋体" w:hAnsi="宋体" w:cs="宋体"/>
                <w:szCs w:val="21"/>
              </w:rPr>
              <w:t>详见竞争性磋商公告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15</w:t>
            </w:r>
          </w:p>
        </w:tc>
        <w:tc>
          <w:tcPr>
            <w:tcW w:w="1816" w:type="dxa"/>
            <w:gridSpan w:val="2"/>
            <w:tcBorders>
              <w:left w:val="single" w:color="auto" w:sz="6" w:space="0"/>
              <w:right w:val="single" w:color="auto" w:sz="6" w:space="0"/>
            </w:tcBorders>
            <w:vAlign w:val="center"/>
          </w:tcPr>
          <w:p>
            <w:pPr>
              <w:jc w:val="left"/>
              <w:rPr>
                <w:rFonts w:ascii="宋体" w:hAnsi="宋体" w:cs="宋体"/>
                <w:szCs w:val="21"/>
              </w:rPr>
            </w:pPr>
            <w:r>
              <w:rPr>
                <w:rFonts w:hint="eastAsia" w:ascii="宋体" w:hAnsi="宋体" w:cs="宋体"/>
                <w:szCs w:val="21"/>
              </w:rPr>
              <w:t>质量要求</w:t>
            </w:r>
          </w:p>
        </w:tc>
        <w:tc>
          <w:tcPr>
            <w:tcW w:w="6797"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cs="宋体"/>
                <w:szCs w:val="21"/>
              </w:rPr>
            </w:pPr>
            <w:r>
              <w:rPr>
                <w:rFonts w:hint="eastAsia" w:ascii="宋体" w:hAnsi="宋体" w:cs="宋体"/>
                <w:szCs w:val="21"/>
              </w:rPr>
              <w:t>一次性验收合格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16</w:t>
            </w:r>
          </w:p>
        </w:tc>
        <w:tc>
          <w:tcPr>
            <w:tcW w:w="1816" w:type="dxa"/>
            <w:gridSpan w:val="2"/>
            <w:tcBorders>
              <w:left w:val="single" w:color="auto" w:sz="6" w:space="0"/>
              <w:right w:val="single" w:color="auto" w:sz="6" w:space="0"/>
            </w:tcBorders>
            <w:vAlign w:val="center"/>
          </w:tcPr>
          <w:p>
            <w:pPr>
              <w:jc w:val="left"/>
              <w:rPr>
                <w:rFonts w:ascii="宋体" w:hAnsi="宋体" w:cs="宋体"/>
                <w:szCs w:val="21"/>
              </w:rPr>
            </w:pPr>
            <w:r>
              <w:rPr>
                <w:rFonts w:hint="eastAsia" w:ascii="宋体" w:hAnsi="宋体" w:cs="宋体"/>
                <w:szCs w:val="21"/>
              </w:rPr>
              <w:t>工期要求</w:t>
            </w:r>
          </w:p>
        </w:tc>
        <w:tc>
          <w:tcPr>
            <w:tcW w:w="6797"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cs="宋体"/>
                <w:szCs w:val="21"/>
              </w:rPr>
            </w:pPr>
            <w:r>
              <w:rPr>
                <w:rFonts w:hint="eastAsia" w:ascii="宋体" w:hAnsi="宋体" w:cs="宋体"/>
                <w:szCs w:val="21"/>
                <w:highlight w:val="none"/>
              </w:rPr>
              <w:t>工期</w:t>
            </w:r>
            <w:r>
              <w:rPr>
                <w:rFonts w:hint="eastAsia" w:ascii="宋体" w:hAnsi="宋体" w:cs="宋体"/>
                <w:szCs w:val="21"/>
                <w:highlight w:val="none"/>
                <w:lang w:val="en-US" w:eastAsia="zh-CN"/>
              </w:rPr>
              <w:t>15</w:t>
            </w:r>
            <w:r>
              <w:rPr>
                <w:rFonts w:hint="eastAsia" w:ascii="宋体" w:hAnsi="宋体" w:cs="宋体"/>
                <w:szCs w:val="21"/>
                <w:highlight w:val="none"/>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17</w:t>
            </w:r>
          </w:p>
        </w:tc>
        <w:tc>
          <w:tcPr>
            <w:tcW w:w="1816" w:type="dxa"/>
            <w:gridSpan w:val="2"/>
            <w:tcBorders>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cs="宋体"/>
                <w:szCs w:val="21"/>
              </w:rPr>
              <w:t>踏勘现场</w:t>
            </w:r>
          </w:p>
        </w:tc>
        <w:tc>
          <w:tcPr>
            <w:tcW w:w="6797"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szCs w:val="21"/>
              </w:rPr>
            </w:pPr>
            <w:r>
              <w:rPr>
                <w:rFonts w:hint="eastAsia" w:ascii="宋体" w:hAnsi="宋体" w:cs="宋体"/>
                <w:szCs w:val="21"/>
              </w:rPr>
              <w:t>不组织，自行踏勘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18</w:t>
            </w:r>
          </w:p>
        </w:tc>
        <w:tc>
          <w:tcPr>
            <w:tcW w:w="1816" w:type="dxa"/>
            <w:gridSpan w:val="2"/>
            <w:tcBorders>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cs="宋体"/>
                <w:szCs w:val="21"/>
              </w:rPr>
              <w:t>是否接受联合体投标</w:t>
            </w:r>
          </w:p>
        </w:tc>
        <w:tc>
          <w:tcPr>
            <w:tcW w:w="6797" w:type="dxa"/>
            <w:tcBorders>
              <w:top w:val="single" w:color="auto" w:sz="6" w:space="0"/>
              <w:left w:val="single" w:color="auto" w:sz="6" w:space="0"/>
              <w:bottom w:val="single" w:color="auto" w:sz="6" w:space="0"/>
              <w:right w:val="single" w:color="auto" w:sz="12" w:space="0"/>
            </w:tcBorders>
            <w:vAlign w:val="center"/>
          </w:tcPr>
          <w:p>
            <w:pPr>
              <w:rPr>
                <w:rFonts w:ascii="宋体" w:hAnsi="宋体" w:cs="宋体"/>
                <w:szCs w:val="21"/>
              </w:rPr>
            </w:pPr>
            <w:r>
              <w:rPr>
                <w:rFonts w:hint="eastAsia" w:ascii="宋体" w:hAnsi="宋体" w:cs="宋体"/>
                <w:szCs w:val="21"/>
              </w:rPr>
              <w:t>□不接受</w:t>
            </w:r>
          </w:p>
          <w:p>
            <w:pPr>
              <w:rPr>
                <w:rFonts w:ascii="宋体" w:hAnsi="宋体" w:cs="宋体"/>
                <w:szCs w:val="21"/>
              </w:rPr>
            </w:pPr>
            <w:r>
              <w:rPr>
                <w:rFonts w:hint="eastAsia" w:ascii="宋体" w:hAnsi="宋体" w:cs="宋体"/>
                <w:szCs w:val="21"/>
              </w:rPr>
              <w:t>■接受，应满足下列要求：联合体各方应按磋商文件提供的格式在其资质范围内签订共同投标协议，明确约定各方拟承担的工作和责任。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19</w:t>
            </w:r>
          </w:p>
        </w:tc>
        <w:tc>
          <w:tcPr>
            <w:tcW w:w="1816" w:type="dxa"/>
            <w:gridSpan w:val="2"/>
            <w:tcBorders>
              <w:left w:val="single" w:color="auto" w:sz="6" w:space="0"/>
              <w:bottom w:val="single" w:color="auto" w:sz="6" w:space="0"/>
              <w:right w:val="single" w:color="auto" w:sz="6" w:space="0"/>
            </w:tcBorders>
            <w:vAlign w:val="center"/>
          </w:tcPr>
          <w:p>
            <w:pPr>
              <w:spacing w:line="360" w:lineRule="auto"/>
              <w:rPr>
                <w:rFonts w:ascii="宋体" w:hAnsi="宋体" w:cs="宋体"/>
                <w:kern w:val="0"/>
                <w:szCs w:val="21"/>
              </w:rPr>
            </w:pPr>
            <w:r>
              <w:rPr>
                <w:rFonts w:hint="eastAsia" w:ascii="宋体" w:hAnsi="宋体" w:cs="宋体"/>
                <w:szCs w:val="21"/>
              </w:rPr>
              <w:t>合同形式</w:t>
            </w:r>
          </w:p>
        </w:tc>
        <w:tc>
          <w:tcPr>
            <w:tcW w:w="6797"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szCs w:val="21"/>
              </w:rPr>
            </w:pPr>
            <w:r>
              <w:rPr>
                <w:rFonts w:hint="eastAsia" w:ascii="宋体" w:hAnsi="宋体" w:cs="宋体"/>
                <w:szCs w:val="21"/>
              </w:rPr>
              <w:t>■固定单价合同</w:t>
            </w:r>
          </w:p>
          <w:p>
            <w:pPr>
              <w:spacing w:line="360" w:lineRule="auto"/>
              <w:ind w:firstLine="422" w:firstLineChars="200"/>
              <w:rPr>
                <w:szCs w:val="21"/>
              </w:rPr>
            </w:pPr>
            <w:r>
              <w:rPr>
                <w:rFonts w:hint="eastAsia"/>
                <w:b/>
                <w:szCs w:val="21"/>
              </w:rPr>
              <w:t>注：本工程采用综合单价方式结算，涉及到经谈判供应商进行二次（或多次）报价的，最终结算时先根据第一次报价的计价原则（即各子目单价、费率等均按第一次报价计）计算出总价，再乘以最终报价的折扣率（即最终报价的总价/第一次报价的总价）计算出最终结算价款。</w:t>
            </w:r>
          </w:p>
          <w:p>
            <w:pPr>
              <w:spacing w:line="360" w:lineRule="auto"/>
              <w:rPr>
                <w:rFonts w:ascii="宋体" w:hAnsi="宋体" w:cs="宋体"/>
                <w:szCs w:val="21"/>
              </w:rPr>
            </w:pPr>
            <w:r>
              <w:rPr>
                <w:rFonts w:hint="eastAsia" w:ascii="宋体" w:hAnsi="宋体" w:cs="宋体"/>
                <w:szCs w:val="21"/>
              </w:rPr>
              <w:t>□固定总价合同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20</w:t>
            </w:r>
          </w:p>
        </w:tc>
        <w:tc>
          <w:tcPr>
            <w:tcW w:w="1816" w:type="dxa"/>
            <w:gridSpan w:val="2"/>
            <w:tcBorders>
              <w:left w:val="single" w:color="auto" w:sz="6" w:space="0"/>
              <w:bottom w:val="single" w:color="auto" w:sz="6" w:space="0"/>
              <w:right w:val="single" w:color="auto" w:sz="6" w:space="0"/>
            </w:tcBorders>
            <w:vAlign w:val="center"/>
          </w:tcPr>
          <w:p>
            <w:pPr>
              <w:spacing w:line="360" w:lineRule="auto"/>
              <w:rPr>
                <w:rFonts w:ascii="宋体" w:hAnsi="宋体" w:cs="宋体"/>
                <w:kern w:val="0"/>
                <w:szCs w:val="21"/>
              </w:rPr>
            </w:pPr>
            <w:r>
              <w:rPr>
                <w:rFonts w:hint="eastAsia" w:ascii="宋体" w:hAnsi="宋体" w:cs="宋体"/>
                <w:szCs w:val="21"/>
              </w:rPr>
              <w:t>确定成交人候选人</w:t>
            </w:r>
          </w:p>
        </w:tc>
        <w:tc>
          <w:tcPr>
            <w:tcW w:w="6797"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szCs w:val="21"/>
              </w:rPr>
            </w:pPr>
            <w:r>
              <w:rPr>
                <w:rFonts w:hint="eastAsia" w:ascii="宋体" w:hAnsi="宋体" w:cs="宋体"/>
                <w:szCs w:val="21"/>
              </w:rPr>
              <w:t xml:space="preserve">推荐的成交候选人数： </w:t>
            </w:r>
            <w:r>
              <w:rPr>
                <w:rFonts w:hint="eastAsia" w:ascii="宋体" w:hAnsi="宋体" w:cs="宋体"/>
                <w:szCs w:val="21"/>
                <w:u w:val="single"/>
              </w:rPr>
              <w:t xml:space="preserve"> 2名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21</w:t>
            </w:r>
          </w:p>
        </w:tc>
        <w:tc>
          <w:tcPr>
            <w:tcW w:w="1816" w:type="dxa"/>
            <w:gridSpan w:val="2"/>
            <w:tcBorders>
              <w:left w:val="single" w:color="auto" w:sz="6" w:space="0"/>
              <w:bottom w:val="single" w:color="auto" w:sz="6" w:space="0"/>
              <w:right w:val="single" w:color="auto" w:sz="6" w:space="0"/>
            </w:tcBorders>
            <w:vAlign w:val="center"/>
          </w:tcPr>
          <w:p>
            <w:pPr>
              <w:spacing w:line="360" w:lineRule="auto"/>
              <w:rPr>
                <w:rFonts w:ascii="宋体" w:hAnsi="宋体" w:cs="宋体"/>
                <w:bCs/>
                <w:szCs w:val="21"/>
              </w:rPr>
            </w:pPr>
            <w:r>
              <w:rPr>
                <w:rFonts w:hint="eastAsia" w:ascii="宋体" w:hAnsi="宋体" w:cs="宋体"/>
                <w:szCs w:val="21"/>
              </w:rPr>
              <w:t>技术标是否采用“暗标”评审方式</w:t>
            </w:r>
          </w:p>
        </w:tc>
        <w:tc>
          <w:tcPr>
            <w:tcW w:w="6797"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szCs w:val="21"/>
              </w:rPr>
            </w:pPr>
            <w:r>
              <w:rPr>
                <w:rFonts w:hint="eastAsia" w:ascii="宋体" w:hAnsi="宋体" w:cs="宋体"/>
                <w:szCs w:val="21"/>
              </w:rPr>
              <w:t>■不采用</w:t>
            </w:r>
          </w:p>
          <w:p>
            <w:pPr>
              <w:spacing w:line="360" w:lineRule="auto"/>
              <w:rPr>
                <w:rFonts w:ascii="宋体" w:hAnsi="宋体" w:cs="宋体"/>
                <w:bCs/>
                <w:szCs w:val="21"/>
              </w:rPr>
            </w:pPr>
            <w:r>
              <w:rPr>
                <w:rFonts w:hint="eastAsia" w:ascii="宋体" w:hAnsi="宋体" w:cs="宋体"/>
                <w:szCs w:val="21"/>
              </w:rPr>
              <w:t>□采用，投标人应严格按照“投标文件格式”中“技术标暗标”要求编制及装订。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22</w:t>
            </w:r>
          </w:p>
        </w:tc>
        <w:tc>
          <w:tcPr>
            <w:tcW w:w="1816" w:type="dxa"/>
            <w:gridSpan w:val="2"/>
            <w:tcBorders>
              <w:left w:val="single" w:color="auto" w:sz="6" w:space="0"/>
              <w:bottom w:val="single" w:color="auto" w:sz="6" w:space="0"/>
              <w:right w:val="single" w:color="auto" w:sz="6" w:space="0"/>
            </w:tcBorders>
            <w:vAlign w:val="center"/>
          </w:tcPr>
          <w:p>
            <w:pPr>
              <w:spacing w:line="360" w:lineRule="auto"/>
              <w:rPr>
                <w:rFonts w:ascii="宋体" w:hAnsi="宋体" w:cs="宋体"/>
                <w:szCs w:val="21"/>
              </w:rPr>
            </w:pPr>
            <w:r>
              <w:rPr>
                <w:rFonts w:hint="eastAsia" w:ascii="宋体" w:hAnsi="宋体" w:cs="宋体"/>
                <w:szCs w:val="21"/>
              </w:rPr>
              <w:t>投标文件的密封和标记</w:t>
            </w:r>
          </w:p>
        </w:tc>
        <w:tc>
          <w:tcPr>
            <w:tcW w:w="6797"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szCs w:val="21"/>
              </w:rPr>
            </w:pPr>
            <w:r>
              <w:rPr>
                <w:rFonts w:hint="eastAsia" w:ascii="宋体" w:hAnsi="宋体" w:cs="宋体"/>
                <w:szCs w:val="21"/>
              </w:rPr>
              <w:t>投标文件的外包装上应写明招标人名称、项目名称，投标人名称，同时标明“投标文件”字样，投标文件的封口处需加盖投标人公章和法定代表人或其授权委托人印章。电子版需单独密封，密封和标记同上，同时标明“投标文件电子版”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3"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b/>
                <w:szCs w:val="21"/>
              </w:rPr>
            </w:pPr>
            <w:r>
              <w:rPr>
                <w:rFonts w:hint="eastAsia" w:ascii="宋体" w:hAnsi="宋体" w:cs="宋体"/>
                <w:b/>
                <w:szCs w:val="21"/>
              </w:rPr>
              <w:t>23</w:t>
            </w:r>
          </w:p>
        </w:tc>
        <w:tc>
          <w:tcPr>
            <w:tcW w:w="1816" w:type="dxa"/>
            <w:gridSpan w:val="2"/>
            <w:tcBorders>
              <w:left w:val="single" w:color="auto" w:sz="6" w:space="0"/>
              <w:bottom w:val="single" w:color="auto" w:sz="6" w:space="0"/>
              <w:right w:val="single" w:color="auto" w:sz="6" w:space="0"/>
            </w:tcBorders>
            <w:vAlign w:val="center"/>
          </w:tcPr>
          <w:p>
            <w:pPr>
              <w:spacing w:line="360" w:lineRule="auto"/>
              <w:jc w:val="both"/>
              <w:rPr>
                <w:rFonts w:hint="default" w:ascii="宋体" w:hAnsi="宋体" w:eastAsia="宋体" w:cs="宋体"/>
                <w:szCs w:val="21"/>
                <w:lang w:val="en-US" w:eastAsia="zh-CN"/>
              </w:rPr>
            </w:pPr>
            <w:r>
              <w:rPr>
                <w:rFonts w:hint="eastAsia" w:ascii="宋体" w:hAnsi="宋体" w:cs="宋体"/>
                <w:szCs w:val="21"/>
              </w:rPr>
              <w:t>履约保证金</w:t>
            </w:r>
            <w:r>
              <w:rPr>
                <w:rFonts w:hint="eastAsia" w:ascii="宋体" w:hAnsi="宋体" w:cs="宋体"/>
                <w:szCs w:val="21"/>
                <w:lang w:eastAsia="zh-CN"/>
              </w:rPr>
              <w:t>（</w:t>
            </w:r>
            <w:r>
              <w:rPr>
                <w:rFonts w:hint="eastAsia" w:ascii="宋体" w:hAnsi="宋体" w:cs="宋体"/>
                <w:szCs w:val="21"/>
                <w:lang w:val="en-US" w:eastAsia="zh-CN"/>
              </w:rPr>
              <w:t>本项目不适用）</w:t>
            </w:r>
          </w:p>
        </w:tc>
        <w:tc>
          <w:tcPr>
            <w:tcW w:w="6797"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szCs w:val="21"/>
              </w:rPr>
            </w:pPr>
            <w:r>
              <w:rPr>
                <w:rFonts w:hint="eastAsia" w:ascii="宋体" w:hAnsi="宋体" w:cs="宋体"/>
                <w:szCs w:val="21"/>
              </w:rPr>
              <w:t>履约保证金的形式：</w:t>
            </w:r>
            <w:r>
              <w:rPr>
                <w:rFonts w:hint="eastAsia" w:ascii="宋体" w:hAnsi="宋体" w:cs="宋体"/>
                <w:szCs w:val="21"/>
                <w:u w:val="single"/>
              </w:rPr>
              <w:t xml:space="preserve">银行保函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履约保证金的金额：</w:t>
            </w:r>
            <w:r>
              <w:rPr>
                <w:rFonts w:hint="eastAsia" w:ascii="宋体" w:hAnsi="宋体" w:cs="宋体"/>
                <w:szCs w:val="21"/>
                <w:u w:val="single"/>
              </w:rPr>
              <w:t xml:space="preserve">成交价格的10%  </w:t>
            </w:r>
            <w:r>
              <w:rPr>
                <w:rFonts w:hint="eastAsia" w:ascii="宋体" w:hAnsi="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1137" w:type="dxa"/>
            <w:gridSpan w:val="2"/>
            <w:tcBorders>
              <w:top w:val="single" w:color="auto" w:sz="6" w:space="0"/>
              <w:left w:val="single" w:color="auto" w:sz="12" w:space="0"/>
              <w:bottom w:val="single" w:color="auto" w:sz="6" w:space="0"/>
              <w:right w:val="single" w:color="auto" w:sz="4" w:space="0"/>
            </w:tcBorders>
            <w:tcMar>
              <w:top w:w="0" w:type="dxa"/>
              <w:left w:w="28" w:type="dxa"/>
              <w:bottom w:w="0" w:type="dxa"/>
              <w:right w:w="28" w:type="dxa"/>
            </w:tcMar>
            <w:vAlign w:val="center"/>
          </w:tcPr>
          <w:p>
            <w:pPr>
              <w:widowControl/>
              <w:spacing w:before="100" w:beforeAutospacing="1" w:after="100" w:afterAutospacing="1" w:line="360" w:lineRule="auto"/>
              <w:jc w:val="center"/>
              <w:rPr>
                <w:rFonts w:ascii="宋体" w:hAnsi="宋体" w:cs="宋体"/>
                <w:b/>
                <w:szCs w:val="21"/>
              </w:rPr>
            </w:pPr>
            <w:r>
              <w:rPr>
                <w:rFonts w:hint="eastAsia" w:ascii="宋体" w:hAnsi="宋体" w:cs="宋体"/>
                <w:kern w:val="0"/>
                <w:szCs w:val="21"/>
              </w:rPr>
              <w:t>政策功能</w:t>
            </w:r>
          </w:p>
        </w:tc>
        <w:tc>
          <w:tcPr>
            <w:tcW w:w="8179" w:type="dxa"/>
            <w:gridSpan w:val="2"/>
            <w:tcBorders>
              <w:top w:val="single" w:color="auto" w:sz="6" w:space="0"/>
              <w:left w:val="single" w:color="auto" w:sz="4" w:space="0"/>
              <w:bottom w:val="single" w:color="auto" w:sz="6" w:space="0"/>
              <w:right w:val="single" w:color="auto" w:sz="12" w:space="0"/>
            </w:tcBorders>
            <w:tcMar>
              <w:top w:w="0" w:type="dxa"/>
              <w:left w:w="28" w:type="dxa"/>
              <w:bottom w:w="0" w:type="dxa"/>
              <w:right w:w="28" w:type="dxa"/>
            </w:tcMar>
            <w:vAlign w:val="center"/>
          </w:tcPr>
          <w:p>
            <w:pPr>
              <w:tabs>
                <w:tab w:val="left" w:pos="1080"/>
              </w:tabs>
              <w:autoSpaceDE w:val="0"/>
              <w:autoSpaceDN w:val="0"/>
              <w:adjustRightInd w:val="0"/>
              <w:spacing w:line="360" w:lineRule="auto"/>
              <w:jc w:val="left"/>
              <w:rPr>
                <w:rFonts w:ascii="宋体" w:hAnsi="宋体" w:cs="宋体"/>
                <w:bCs/>
                <w:szCs w:val="21"/>
              </w:rPr>
            </w:pPr>
            <w:r>
              <w:rPr>
                <w:rFonts w:hint="eastAsia" w:ascii="宋体" w:hAnsi="宋体" w:cs="宋体"/>
                <w:szCs w:val="21"/>
              </w:rPr>
              <w:t>本次招标执行政府强制采购节能产品、鼓励环保产品、支持中小微企业、促进残疾人就业、支持监狱和戒毒企业、扶持不发达地区和少数民族地区等相关政策，执行限制采购进口产品等相关政策。</w:t>
            </w:r>
          </w:p>
          <w:p>
            <w:pPr>
              <w:numPr>
                <w:ilvl w:val="0"/>
                <w:numId w:val="1"/>
              </w:numPr>
              <w:spacing w:line="360" w:lineRule="auto"/>
              <w:ind w:hanging="26"/>
              <w:jc w:val="left"/>
              <w:rPr>
                <w:rFonts w:ascii="宋体" w:hAnsi="宋体" w:cs="宋体"/>
                <w:bCs/>
                <w:szCs w:val="21"/>
              </w:rPr>
            </w:pPr>
            <w:r>
              <w:rPr>
                <w:rFonts w:hint="eastAsia" w:ascii="宋体" w:hAnsi="宋体" w:cs="宋体"/>
                <w:bCs/>
                <w:szCs w:val="21"/>
              </w:rPr>
              <w:t>节能产品</w:t>
            </w:r>
          </w:p>
          <w:p>
            <w:pPr>
              <w:spacing w:line="360" w:lineRule="auto"/>
              <w:jc w:val="left"/>
              <w:rPr>
                <w:rFonts w:ascii="宋体" w:hAnsi="宋体" w:cs="宋体"/>
                <w:bCs/>
                <w:szCs w:val="21"/>
              </w:rPr>
            </w:pPr>
            <w:r>
              <w:rPr>
                <w:rFonts w:hint="eastAsia" w:ascii="宋体" w:hAnsi="宋体" w:cs="宋体"/>
                <w:bCs/>
                <w:szCs w:val="21"/>
              </w:rPr>
              <w:t xml:space="preserve">    投标产品必须为</w:t>
            </w:r>
            <w:r>
              <w:rPr>
                <w:rFonts w:hint="eastAsia" w:ascii="宋体" w:hAnsi="宋体" w:cs="宋体"/>
                <w:bCs/>
                <w:kern w:val="0"/>
                <w:szCs w:val="21"/>
              </w:rPr>
              <w:t>最新一期</w:t>
            </w:r>
            <w:r>
              <w:rPr>
                <w:rFonts w:hint="eastAsia" w:ascii="宋体" w:hAnsi="宋体" w:cs="宋体"/>
                <w:bCs/>
                <w:szCs w:val="21"/>
              </w:rPr>
              <w:t>《节能产品政府采购清单》中的产品，应当在响应文件中提供国家财政部、发改委最新一期《节能产品政府采购清单》中该产品所在页的复印件（用记号笔标识认证型号）</w:t>
            </w:r>
          </w:p>
          <w:p>
            <w:pPr>
              <w:numPr>
                <w:ilvl w:val="0"/>
                <w:numId w:val="1"/>
              </w:numPr>
              <w:spacing w:line="360" w:lineRule="auto"/>
              <w:ind w:hanging="26"/>
              <w:jc w:val="left"/>
              <w:rPr>
                <w:rFonts w:ascii="宋体" w:hAnsi="宋体" w:cs="宋体"/>
                <w:bCs/>
                <w:szCs w:val="21"/>
              </w:rPr>
            </w:pPr>
            <w:r>
              <w:rPr>
                <w:rFonts w:hint="eastAsia" w:ascii="宋体" w:hAnsi="宋体" w:cs="宋体"/>
                <w:bCs/>
                <w:szCs w:val="21"/>
              </w:rPr>
              <w:t>环保产品</w:t>
            </w:r>
          </w:p>
          <w:p>
            <w:pPr>
              <w:spacing w:line="360" w:lineRule="auto"/>
              <w:jc w:val="left"/>
              <w:rPr>
                <w:rFonts w:ascii="宋体" w:hAnsi="宋体" w:cs="宋体"/>
                <w:bCs/>
                <w:szCs w:val="21"/>
              </w:rPr>
            </w:pPr>
            <w:r>
              <w:rPr>
                <w:rFonts w:hint="eastAsia" w:ascii="宋体" w:hAnsi="宋体" w:cs="宋体"/>
                <w:bCs/>
                <w:szCs w:val="21"/>
              </w:rPr>
              <w:t xml:space="preserve">    投标产品若为</w:t>
            </w:r>
            <w:r>
              <w:rPr>
                <w:rFonts w:hint="eastAsia" w:ascii="宋体" w:hAnsi="宋体" w:cs="宋体"/>
                <w:bCs/>
                <w:kern w:val="0"/>
                <w:szCs w:val="21"/>
              </w:rPr>
              <w:t>最新一期</w:t>
            </w:r>
            <w:r>
              <w:rPr>
                <w:rFonts w:hint="eastAsia" w:ascii="宋体" w:hAnsi="宋体" w:cs="宋体"/>
                <w:bCs/>
                <w:szCs w:val="21"/>
              </w:rPr>
              <w:t>《环境标志产品政府采购清单》中的产品，应当在响应文件中提供“环境标志产品政府采购清单”目录中该产品所在页的复印件（用记号笔标识认证型号）</w:t>
            </w:r>
          </w:p>
          <w:p>
            <w:pPr>
              <w:spacing w:line="360" w:lineRule="auto"/>
              <w:ind w:hanging="26"/>
              <w:jc w:val="left"/>
              <w:rPr>
                <w:rFonts w:ascii="宋体" w:hAnsi="宋体" w:cs="宋体"/>
                <w:bCs/>
                <w:szCs w:val="21"/>
              </w:rPr>
            </w:pPr>
            <w:r>
              <w:rPr>
                <w:rFonts w:hint="eastAsia" w:ascii="宋体" w:hAnsi="宋体" w:cs="宋体"/>
                <w:bCs/>
                <w:szCs w:val="21"/>
              </w:rPr>
              <w:t>3、中小企业</w:t>
            </w:r>
          </w:p>
          <w:p>
            <w:pPr>
              <w:spacing w:line="360" w:lineRule="auto"/>
              <w:ind w:hanging="26"/>
              <w:jc w:val="left"/>
              <w:rPr>
                <w:rFonts w:ascii="宋体" w:hAnsi="宋体" w:cs="宋体"/>
                <w:bCs/>
                <w:szCs w:val="21"/>
              </w:rPr>
            </w:pPr>
            <w:r>
              <w:rPr>
                <w:rFonts w:hint="eastAsia" w:ascii="宋体" w:hAnsi="宋体" w:cs="宋体"/>
                <w:bCs/>
                <w:szCs w:val="21"/>
              </w:rPr>
              <w:t xml:space="preserve">    按照国家财政部、工信部发布财库〔2011〕181号，关于印发《政府采购促进中小企业发展暂行办法》的通知中规定的划分标准确定的中小型企业，并提供《中小企业声明函》</w:t>
            </w:r>
          </w:p>
          <w:p>
            <w:pPr>
              <w:tabs>
                <w:tab w:val="left" w:pos="360"/>
                <w:tab w:val="left" w:pos="540"/>
                <w:tab w:val="left" w:pos="720"/>
                <w:tab w:val="left" w:pos="900"/>
              </w:tabs>
              <w:spacing w:line="360" w:lineRule="auto"/>
              <w:ind w:firstLine="420" w:firstLineChars="200"/>
              <w:rPr>
                <w:rFonts w:ascii="宋体" w:hAnsi="宋体" w:cs="宋体"/>
                <w:bCs/>
                <w:szCs w:val="21"/>
              </w:rPr>
            </w:pPr>
            <w:r>
              <w:rPr>
                <w:rFonts w:hint="eastAsia" w:ascii="宋体" w:hAnsi="宋体" w:cs="宋体"/>
                <w:bCs/>
                <w:szCs w:val="21"/>
              </w:rPr>
              <w:t>（1）参加政府采购活动的中小企业应当提供按照“关于印发《政府采购促进中小企业发展暂行办法》的通知（财库〔2011〕181号）”规定的《中小企业声明函》。若提供虚假材料谋取成交、成交的，按照《政府采购法》有关条款处理，并记入供应商诚信档案。</w:t>
            </w:r>
          </w:p>
          <w:p>
            <w:pPr>
              <w:tabs>
                <w:tab w:val="left" w:pos="540"/>
                <w:tab w:val="left" w:pos="900"/>
              </w:tabs>
              <w:spacing w:line="360" w:lineRule="auto"/>
              <w:ind w:firstLine="411" w:firstLineChars="196"/>
              <w:rPr>
                <w:rFonts w:ascii="宋体" w:hAnsi="宋体" w:cs="宋体"/>
                <w:bCs/>
                <w:szCs w:val="21"/>
              </w:rPr>
            </w:pPr>
            <w:r>
              <w:rPr>
                <w:rFonts w:hint="eastAsia" w:ascii="宋体" w:hAnsi="宋体" w:cs="宋体"/>
                <w:bCs/>
                <w:szCs w:val="21"/>
              </w:rPr>
              <w:t>（2）对于非专门面向中小企业的项目，对小型和微型企业产品的价格给予6%-10%的扣除，用扣除后的价格参与评审，具体扣除比例由采购人或者采购代理机构确定。</w:t>
            </w:r>
          </w:p>
          <w:p>
            <w:pPr>
              <w:tabs>
                <w:tab w:val="left" w:pos="540"/>
                <w:tab w:val="left" w:pos="900"/>
              </w:tabs>
              <w:spacing w:line="360" w:lineRule="auto"/>
              <w:ind w:firstLine="411" w:firstLineChars="196"/>
              <w:rPr>
                <w:rFonts w:ascii="宋体" w:hAnsi="宋体" w:cs="宋体"/>
                <w:bCs/>
                <w:szCs w:val="21"/>
              </w:rPr>
            </w:pPr>
            <w:r>
              <w:rPr>
                <w:rFonts w:hint="eastAsia" w:ascii="宋体" w:hAnsi="宋体" w:cs="宋体"/>
                <w:bCs/>
                <w:szCs w:val="21"/>
              </w:rPr>
              <w:t>（3）若小（微）企业与其他规模企业组成联合体，联合协议中约定，小型、微型企业的协议合同金额占到联合体协议合同总金额30%以上的，可给予联合体2%-3%的价格扣除。联合体各方均为小型、微型企业的，联合体视同为小型、微型企业享受扶持政策。</w:t>
            </w:r>
          </w:p>
          <w:p>
            <w:pPr>
              <w:tabs>
                <w:tab w:val="left" w:pos="540"/>
                <w:tab w:val="left" w:pos="900"/>
              </w:tabs>
              <w:spacing w:line="360" w:lineRule="auto"/>
              <w:ind w:firstLine="411" w:firstLineChars="196"/>
              <w:rPr>
                <w:rFonts w:ascii="宋体" w:hAnsi="宋体" w:cs="宋体"/>
                <w:bCs/>
                <w:szCs w:val="21"/>
              </w:rPr>
            </w:pPr>
            <w:r>
              <w:rPr>
                <w:rFonts w:hint="eastAsia" w:ascii="宋体" w:hAnsi="宋体" w:cs="宋体"/>
                <w:bCs/>
                <w:szCs w:val="21"/>
              </w:rPr>
              <w:t>（4）履约保证金、付款期限、付款方式等方面给予中小企业适当支持。</w:t>
            </w:r>
          </w:p>
          <w:p>
            <w:pPr>
              <w:tabs>
                <w:tab w:val="left" w:pos="540"/>
                <w:tab w:val="left" w:pos="900"/>
              </w:tabs>
              <w:spacing w:line="360" w:lineRule="auto"/>
              <w:ind w:firstLine="411" w:firstLineChars="196"/>
              <w:rPr>
                <w:rFonts w:ascii="宋体" w:hAnsi="宋体" w:cs="宋体"/>
                <w:bCs/>
                <w:szCs w:val="21"/>
              </w:rPr>
            </w:pPr>
            <w:r>
              <w:rPr>
                <w:rFonts w:hint="eastAsia" w:ascii="宋体" w:hAnsi="宋体" w:cs="宋体"/>
                <w:bCs/>
                <w:szCs w:val="21"/>
              </w:rPr>
              <w:t>（5）政府采购监督检查和投诉处理中对中小企业的认定，由企业所在地的县级以上中小企业主管部门负责。</w:t>
            </w:r>
          </w:p>
          <w:p>
            <w:pPr>
              <w:spacing w:line="360" w:lineRule="auto"/>
              <w:ind w:firstLine="420" w:firstLineChars="200"/>
              <w:rPr>
                <w:rFonts w:ascii="宋体" w:hAnsi="宋体" w:cs="宋体"/>
                <w:bCs/>
                <w:szCs w:val="21"/>
              </w:rPr>
            </w:pPr>
            <w:r>
              <w:rPr>
                <w:rFonts w:hint="eastAsia" w:ascii="宋体" w:hAnsi="宋体" w:cs="宋体"/>
                <w:bCs/>
                <w:szCs w:val="21"/>
              </w:rPr>
              <w:t>（6）如投标人为残疾人福利性单位，应提供符合财库〔2017〕141号文格式要求的《残疾人福利性单位声明函》，</w:t>
            </w:r>
            <w:r>
              <w:rPr>
                <w:rFonts w:hint="eastAsia" w:ascii="宋体" w:hAnsi="宋体" w:cs="宋体"/>
                <w:bCs/>
                <w:kern w:val="0"/>
                <w:szCs w:val="21"/>
              </w:rPr>
              <w:t>并对声明的真实性负责。</w:t>
            </w:r>
            <w:r>
              <w:rPr>
                <w:rFonts w:hint="eastAsia" w:ascii="宋体" w:hAnsi="宋体" w:cs="宋体"/>
                <w:bCs/>
                <w:szCs w:val="21"/>
              </w:rPr>
              <w:t>一旦成交将在成交结果公告中公告其声明函，接受社会监督。</w:t>
            </w:r>
          </w:p>
          <w:p>
            <w:pPr>
              <w:spacing w:line="360" w:lineRule="auto"/>
              <w:rPr>
                <w:rFonts w:ascii="宋体" w:hAnsi="宋体" w:cs="宋体"/>
                <w:bCs/>
                <w:szCs w:val="21"/>
              </w:rPr>
            </w:pPr>
            <w:r>
              <w:rPr>
                <w:rFonts w:hint="eastAsia" w:ascii="宋体" w:hAnsi="宋体" w:cs="宋体"/>
                <w:bCs/>
                <w:szCs w:val="21"/>
              </w:rPr>
              <w:t>5、如投标人为监狱或戒毒企业，应提供由省级以上监狱管理局、戒毒管理局（含新疆生产建设兵团）出具的属于监狱或戒毒企业的证明文件。</w:t>
            </w:r>
          </w:p>
          <w:p>
            <w:pPr>
              <w:tabs>
                <w:tab w:val="left" w:pos="540"/>
                <w:tab w:val="left" w:pos="900"/>
              </w:tabs>
              <w:spacing w:line="360" w:lineRule="auto"/>
              <w:rPr>
                <w:rFonts w:ascii="宋体" w:hAnsi="宋体" w:cs="宋体"/>
                <w:szCs w:val="21"/>
              </w:rPr>
            </w:pPr>
            <w:r>
              <w:rPr>
                <w:rFonts w:hint="eastAsia" w:ascii="宋体" w:hAnsi="宋体" w:cs="宋体"/>
                <w:bCs/>
                <w:szCs w:val="21"/>
              </w:rPr>
              <w:t>6、</w:t>
            </w:r>
            <w:r>
              <w:rPr>
                <w:rFonts w:hint="eastAsia" w:ascii="宋体" w:hAnsi="宋体" w:cs="宋体"/>
                <w:szCs w:val="21"/>
              </w:rPr>
              <w:t>限制采购进口产品。</w:t>
            </w:r>
          </w:p>
          <w:p>
            <w:pPr>
              <w:adjustRightInd w:val="0"/>
              <w:spacing w:line="360" w:lineRule="auto"/>
              <w:rPr>
                <w:rFonts w:ascii="宋体" w:hAnsi="宋体" w:cs="宋体"/>
                <w:bCs/>
                <w:szCs w:val="21"/>
              </w:rPr>
            </w:pPr>
            <w:r>
              <w:rPr>
                <w:rFonts w:hint="eastAsia" w:ascii="宋体" w:hAnsi="宋体" w:cs="宋体"/>
                <w:b/>
                <w:bCs/>
                <w:szCs w:val="21"/>
              </w:rPr>
              <w:t xml:space="preserve">备注：监狱企业、残疾人福利性单位视同小型、微型企业。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1137" w:type="dxa"/>
            <w:gridSpan w:val="2"/>
            <w:tcBorders>
              <w:top w:val="single" w:color="auto" w:sz="6" w:space="0"/>
              <w:left w:val="single" w:color="auto" w:sz="12" w:space="0"/>
              <w:bottom w:val="single" w:color="auto" w:sz="6" w:space="0"/>
              <w:right w:val="single" w:color="auto" w:sz="4" w:space="0"/>
            </w:tcBorders>
            <w:tcMar>
              <w:top w:w="0" w:type="dxa"/>
              <w:left w:w="28" w:type="dxa"/>
              <w:bottom w:w="0" w:type="dxa"/>
              <w:right w:w="28" w:type="dxa"/>
            </w:tcMar>
            <w:vAlign w:val="center"/>
          </w:tcPr>
          <w:p>
            <w:pPr>
              <w:jc w:val="center"/>
              <w:rPr>
                <w:rFonts w:ascii="宋体" w:hAnsi="宋体" w:cs="宋体"/>
                <w:b/>
                <w:szCs w:val="21"/>
              </w:rPr>
            </w:pPr>
            <w:r>
              <w:rPr>
                <w:rFonts w:hint="eastAsia" w:ascii="宋体" w:hAnsi="宋体" w:cs="宋体"/>
                <w:b/>
                <w:szCs w:val="21"/>
              </w:rPr>
              <w:t>一般要求</w:t>
            </w:r>
          </w:p>
        </w:tc>
        <w:tc>
          <w:tcPr>
            <w:tcW w:w="8179" w:type="dxa"/>
            <w:gridSpan w:val="2"/>
            <w:tcBorders>
              <w:top w:val="single" w:color="auto" w:sz="6" w:space="0"/>
              <w:left w:val="single" w:color="auto" w:sz="4" w:space="0"/>
              <w:bottom w:val="single" w:color="auto" w:sz="6" w:space="0"/>
              <w:right w:val="single" w:color="auto" w:sz="12" w:space="0"/>
            </w:tcBorders>
            <w:tcMar>
              <w:top w:w="0" w:type="dxa"/>
              <w:left w:w="28" w:type="dxa"/>
              <w:bottom w:w="0" w:type="dxa"/>
              <w:right w:w="28" w:type="dxa"/>
            </w:tcMar>
            <w:vAlign w:val="center"/>
          </w:tcPr>
          <w:p>
            <w:pPr>
              <w:jc w:val="left"/>
              <w:rPr>
                <w:rFonts w:ascii="宋体" w:hAnsi="宋体" w:cs="宋体"/>
                <w:bCs/>
                <w:szCs w:val="21"/>
              </w:rPr>
            </w:pPr>
            <w:r>
              <w:rPr>
                <w:rFonts w:hint="eastAsia" w:ascii="宋体" w:hAnsi="宋体" w:cs="宋体"/>
                <w:bCs/>
                <w:szCs w:val="21"/>
              </w:rPr>
              <w:t>《中华人民共和国政府采购法》第二十二条规定供应商参加政府采购活动应当具备下列条件：</w:t>
            </w:r>
          </w:p>
          <w:p>
            <w:pPr>
              <w:jc w:val="left"/>
              <w:rPr>
                <w:rFonts w:ascii="宋体" w:hAnsi="宋体" w:cs="宋体"/>
                <w:bCs/>
                <w:szCs w:val="21"/>
              </w:rPr>
            </w:pPr>
            <w:r>
              <w:rPr>
                <w:rFonts w:hint="eastAsia" w:ascii="宋体" w:hAnsi="宋体" w:cs="宋体"/>
                <w:bCs/>
                <w:szCs w:val="21"/>
              </w:rPr>
              <w:t>（一）具有独立承担民事责任的能力；</w:t>
            </w:r>
          </w:p>
          <w:p>
            <w:pPr>
              <w:jc w:val="left"/>
              <w:rPr>
                <w:rFonts w:ascii="宋体" w:hAnsi="宋体" w:cs="宋体"/>
                <w:bCs/>
                <w:szCs w:val="21"/>
              </w:rPr>
            </w:pPr>
            <w:r>
              <w:rPr>
                <w:rFonts w:hint="eastAsia" w:ascii="宋体" w:hAnsi="宋体" w:cs="宋体"/>
                <w:bCs/>
                <w:szCs w:val="21"/>
              </w:rPr>
              <w:t>（二）具有良好的商业信誉和健全的财务会计制度；</w:t>
            </w:r>
          </w:p>
          <w:p>
            <w:pPr>
              <w:jc w:val="left"/>
              <w:rPr>
                <w:rFonts w:ascii="宋体" w:hAnsi="宋体" w:cs="宋体"/>
                <w:bCs/>
                <w:szCs w:val="21"/>
              </w:rPr>
            </w:pPr>
            <w:r>
              <w:rPr>
                <w:rFonts w:hint="eastAsia" w:ascii="宋体" w:hAnsi="宋体" w:cs="宋体"/>
                <w:bCs/>
                <w:szCs w:val="21"/>
              </w:rPr>
              <w:t>（三）具有履行合同所必需的设备和专业技术能力；</w:t>
            </w:r>
          </w:p>
          <w:p>
            <w:pPr>
              <w:jc w:val="left"/>
              <w:rPr>
                <w:rFonts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四</w:t>
            </w:r>
            <w:r>
              <w:rPr>
                <w:rFonts w:hint="eastAsia" w:ascii="宋体" w:hAnsi="宋体" w:cs="宋体"/>
                <w:bCs/>
                <w:szCs w:val="21"/>
              </w:rPr>
              <w:t>）参加政府采购活动前三年内，在经营活动中没有重大违法记录；</w:t>
            </w:r>
          </w:p>
          <w:p>
            <w:pPr>
              <w:jc w:val="left"/>
              <w:rPr>
                <w:rFonts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五</w:t>
            </w:r>
            <w:r>
              <w:rPr>
                <w:rFonts w:hint="eastAsia" w:ascii="宋体" w:hAnsi="宋体" w:cs="宋体"/>
                <w:bCs/>
                <w:szCs w:val="21"/>
              </w:rPr>
              <w:t>）法律、行政法规规定的其他条件。</w:t>
            </w:r>
          </w:p>
          <w:p>
            <w:pPr>
              <w:jc w:val="left"/>
              <w:rPr>
                <w:rFonts w:ascii="宋体" w:hAnsi="宋体" w:cs="宋体"/>
                <w:bCs/>
                <w:szCs w:val="21"/>
              </w:rPr>
            </w:pPr>
            <w:r>
              <w:rPr>
                <w:rFonts w:hint="eastAsia" w:ascii="宋体" w:hAnsi="宋体" w:cs="宋体"/>
                <w:bCs/>
                <w:szCs w:val="21"/>
              </w:rPr>
              <w:t xml:space="preserve">    针对以上一般要求，磋商单位必须提供下列资料：</w:t>
            </w:r>
          </w:p>
          <w:p>
            <w:pPr>
              <w:jc w:val="left"/>
              <w:rPr>
                <w:rFonts w:ascii="宋体" w:hAnsi="宋体" w:cs="宋体"/>
                <w:bCs/>
                <w:szCs w:val="21"/>
              </w:rPr>
            </w:pPr>
            <w:r>
              <w:rPr>
                <w:rFonts w:hint="eastAsia" w:ascii="宋体" w:hAnsi="宋体" w:cs="宋体"/>
                <w:bCs/>
                <w:szCs w:val="21"/>
              </w:rPr>
              <w:t>1、组织机构证明：营业执照（三证合一）、法人代表授权委托书、国家颁布的行业资格资质要求。</w:t>
            </w:r>
          </w:p>
          <w:p>
            <w:pPr>
              <w:jc w:val="left"/>
              <w:rPr>
                <w:rFonts w:ascii="宋体" w:hAnsi="宋体" w:cs="宋体"/>
                <w:bCs/>
                <w:szCs w:val="21"/>
              </w:rPr>
            </w:pPr>
            <w:r>
              <w:rPr>
                <w:rFonts w:hint="eastAsia" w:ascii="宋体" w:hAnsi="宋体" w:cs="宋体"/>
                <w:bCs/>
                <w:szCs w:val="21"/>
                <w:lang w:val="en-US" w:eastAsia="zh-CN"/>
              </w:rPr>
              <w:t>2</w:t>
            </w:r>
            <w:r>
              <w:rPr>
                <w:rFonts w:hint="eastAsia" w:ascii="宋体" w:hAnsi="宋体" w:cs="宋体"/>
                <w:bCs/>
                <w:szCs w:val="21"/>
              </w:rPr>
              <w:t>、参加政府采购活动前三年内，在经营活动中没有重大违法记录。</w:t>
            </w:r>
          </w:p>
        </w:tc>
      </w:tr>
    </w:tbl>
    <w:p>
      <w:pPr>
        <w:numPr>
          <w:ilvl w:val="0"/>
          <w:numId w:val="2"/>
        </w:numPr>
        <w:jc w:val="center"/>
      </w:pPr>
      <w:r>
        <w:rPr>
          <w:rFonts w:cs="宋体"/>
          <w:szCs w:val="20"/>
        </w:rPr>
        <w:br w:type="page"/>
      </w:r>
      <w:bookmarkStart w:id="8" w:name="_Toc354060216"/>
      <w:r>
        <w:rPr>
          <w:rFonts w:hint="eastAsia" w:cs="宋体"/>
          <w:szCs w:val="20"/>
        </w:rPr>
        <w:t>投标</w:t>
      </w:r>
      <w:r>
        <w:rPr>
          <w:rFonts w:hint="eastAsia"/>
        </w:rPr>
        <w:t>人须知正文</w:t>
      </w:r>
      <w:bookmarkEnd w:id="8"/>
      <w:bookmarkStart w:id="9" w:name="_Toc152045529"/>
      <w:bookmarkStart w:id="10" w:name="_Toc179632546"/>
      <w:bookmarkStart w:id="11" w:name="_Toc152042305"/>
      <w:bookmarkStart w:id="12" w:name="_Toc354060217"/>
      <w:bookmarkStart w:id="13" w:name="_Toc144974497"/>
    </w:p>
    <w:p>
      <w:pPr>
        <w:rPr>
          <w:b/>
          <w:bCs/>
          <w:sz w:val="28"/>
          <w:szCs w:val="28"/>
        </w:rPr>
      </w:pPr>
      <w:r>
        <w:rPr>
          <w:rFonts w:hint="eastAsia"/>
          <w:b/>
          <w:bCs/>
          <w:sz w:val="28"/>
          <w:szCs w:val="28"/>
        </w:rPr>
        <w:t>1. 总则</w:t>
      </w:r>
      <w:bookmarkEnd w:id="9"/>
      <w:bookmarkEnd w:id="10"/>
      <w:bookmarkEnd w:id="11"/>
      <w:bookmarkEnd w:id="12"/>
      <w:bookmarkEnd w:id="13"/>
    </w:p>
    <w:p>
      <w:pPr>
        <w:pStyle w:val="16"/>
        <w:spacing w:line="360" w:lineRule="auto"/>
        <w:outlineLvl w:val="9"/>
      </w:pPr>
      <w:r>
        <w:rPr>
          <w:rFonts w:hint="eastAsia"/>
        </w:rPr>
        <w:t>1.1 项目概况</w:t>
      </w:r>
    </w:p>
    <w:p>
      <w:pPr>
        <w:spacing w:line="360" w:lineRule="auto"/>
        <w:ind w:firstLine="420" w:firstLineChars="200"/>
        <w:rPr>
          <w:rFonts w:ascii="宋体" w:hAnsi="宋体"/>
        </w:rPr>
      </w:pPr>
      <w:r>
        <w:rPr>
          <w:rFonts w:hint="eastAsia" w:ascii="宋体" w:hAnsi="宋体"/>
        </w:rPr>
        <w:t>1.1.1</w:t>
      </w:r>
      <w:r>
        <w:rPr>
          <w:rFonts w:hint="eastAsia"/>
          <w:sz w:val="21"/>
          <w:szCs w:val="21"/>
          <w:shd w:val="clear" w:color="auto" w:fill="FFFFFF"/>
          <w:lang w:val="en-US" w:eastAsia="zh-CN"/>
        </w:rPr>
        <w:t>月浦镇段泾村土地整理复垦项目（沪宝耕立【2021】0007号）</w:t>
      </w:r>
      <w:r>
        <w:rPr>
          <w:rFonts w:hint="eastAsia" w:ascii="宋体" w:hAnsi="宋体"/>
        </w:rPr>
        <w:t>已经批准，建设资金已基本到位。根据《中华人民共和国政府采购法》、《中华人民共和国招标投标法》等有关法律、法规和规章的规定，本招标项目已具备招标条件，现对本标段施工进行招标。</w:t>
      </w:r>
    </w:p>
    <w:p>
      <w:pPr>
        <w:spacing w:line="360" w:lineRule="auto"/>
        <w:ind w:firstLine="420" w:firstLineChars="200"/>
        <w:rPr>
          <w:rFonts w:ascii="宋体" w:hAnsi="宋体"/>
        </w:rPr>
      </w:pPr>
      <w:r>
        <w:rPr>
          <w:rFonts w:hint="eastAsia" w:ascii="宋体" w:hAnsi="宋体"/>
        </w:rPr>
        <w:t>1.1.2 招标人：见投标人须知前附表。</w:t>
      </w:r>
    </w:p>
    <w:p>
      <w:pPr>
        <w:spacing w:line="360" w:lineRule="auto"/>
        <w:ind w:firstLine="420" w:firstLineChars="200"/>
        <w:rPr>
          <w:rFonts w:ascii="宋体" w:hAnsi="宋体"/>
        </w:rPr>
      </w:pPr>
      <w:r>
        <w:rPr>
          <w:rFonts w:hint="eastAsia" w:ascii="宋体" w:hAnsi="宋体"/>
        </w:rPr>
        <w:t>1.1.3 招标代理机构：见投标人须知前附表。</w:t>
      </w:r>
    </w:p>
    <w:p>
      <w:pPr>
        <w:spacing w:line="360" w:lineRule="auto"/>
        <w:ind w:firstLine="420" w:firstLineChars="200"/>
        <w:rPr>
          <w:rFonts w:ascii="宋体" w:hAnsi="宋体"/>
        </w:rPr>
      </w:pPr>
      <w:r>
        <w:rPr>
          <w:rFonts w:hint="eastAsia" w:ascii="宋体" w:hAnsi="宋体"/>
        </w:rPr>
        <w:t>1.1.4 项目名称：见投标人须知前附表。</w:t>
      </w:r>
    </w:p>
    <w:p>
      <w:pPr>
        <w:pStyle w:val="16"/>
        <w:spacing w:line="360" w:lineRule="auto"/>
        <w:outlineLvl w:val="9"/>
      </w:pPr>
      <w:bookmarkStart w:id="14" w:name="_Toc152045531"/>
      <w:bookmarkStart w:id="15" w:name="_Toc152042307"/>
      <w:bookmarkStart w:id="16" w:name="_Toc144974499"/>
      <w:bookmarkStart w:id="17" w:name="_Toc179632548"/>
      <w:r>
        <w:rPr>
          <w:rFonts w:hint="eastAsia"/>
        </w:rPr>
        <w:t>1.2 资金来源和落实情况</w:t>
      </w:r>
      <w:bookmarkEnd w:id="14"/>
      <w:bookmarkEnd w:id="15"/>
      <w:bookmarkEnd w:id="16"/>
      <w:bookmarkEnd w:id="17"/>
    </w:p>
    <w:p>
      <w:pPr>
        <w:spacing w:line="360" w:lineRule="auto"/>
        <w:ind w:firstLine="420" w:firstLineChars="200"/>
        <w:rPr>
          <w:rFonts w:ascii="宋体" w:hAnsi="宋体"/>
        </w:rPr>
      </w:pPr>
      <w:r>
        <w:rPr>
          <w:rFonts w:hint="eastAsia" w:ascii="宋体" w:hAnsi="宋体"/>
        </w:rPr>
        <w:t>1.2.1 资金来源：</w:t>
      </w:r>
      <w:r>
        <w:rPr>
          <w:rFonts w:hint="eastAsia" w:ascii="宋体" w:hAnsi="宋体"/>
          <w:szCs w:val="21"/>
        </w:rPr>
        <w:t>上海市</w:t>
      </w:r>
      <w:r>
        <w:rPr>
          <w:rFonts w:hint="eastAsia" w:ascii="宋体" w:hAnsi="宋体"/>
          <w:szCs w:val="21"/>
          <w:lang w:eastAsia="zh-CN"/>
        </w:rPr>
        <w:t>月浦镇</w:t>
      </w:r>
      <w:r>
        <w:rPr>
          <w:rFonts w:hint="eastAsia" w:ascii="宋体" w:hAnsi="宋体"/>
          <w:szCs w:val="21"/>
        </w:rPr>
        <w:t>人民政府</w:t>
      </w:r>
      <w:r>
        <w:rPr>
          <w:rFonts w:hint="eastAsia" w:ascii="宋体" w:hAnsi="宋体"/>
        </w:rPr>
        <w:t>。</w:t>
      </w:r>
    </w:p>
    <w:p>
      <w:pPr>
        <w:spacing w:line="360" w:lineRule="auto"/>
        <w:ind w:firstLine="420" w:firstLineChars="200"/>
        <w:rPr>
          <w:rFonts w:ascii="宋体" w:hAnsi="宋体"/>
          <w:color w:val="FF0000"/>
        </w:rPr>
      </w:pPr>
      <w:r>
        <w:rPr>
          <w:rFonts w:hint="eastAsia" w:ascii="宋体" w:hAnsi="宋体"/>
        </w:rPr>
        <w:t>1.2.2 出资比例</w:t>
      </w:r>
      <w:r>
        <w:rPr>
          <w:rFonts w:hint="eastAsia" w:ascii="宋体" w:hAnsi="宋体"/>
          <w:color w:val="000000" w:themeColor="text1"/>
        </w:rPr>
        <w:t>：</w:t>
      </w:r>
      <w:r>
        <w:rPr>
          <w:rFonts w:hint="eastAsia" w:ascii="宋体" w:hAnsi="宋体"/>
          <w:color w:val="000000" w:themeColor="text1"/>
          <w:szCs w:val="21"/>
        </w:rPr>
        <w:t>政府投资</w:t>
      </w:r>
      <w:r>
        <w:rPr>
          <w:rFonts w:hint="eastAsia"/>
          <w:color w:val="000000" w:themeColor="text1"/>
          <w:szCs w:val="21"/>
        </w:rPr>
        <w:t>。</w:t>
      </w:r>
    </w:p>
    <w:p>
      <w:pPr>
        <w:spacing w:line="360" w:lineRule="auto"/>
        <w:ind w:firstLine="420" w:firstLineChars="200"/>
        <w:rPr>
          <w:rFonts w:ascii="宋体" w:hAnsi="宋体"/>
        </w:rPr>
      </w:pPr>
      <w:r>
        <w:rPr>
          <w:rFonts w:hint="eastAsia" w:ascii="宋体" w:hAnsi="宋体"/>
        </w:rPr>
        <w:t>1.2.3 资金落实情况：已全部落实。</w:t>
      </w:r>
    </w:p>
    <w:p>
      <w:pPr>
        <w:pStyle w:val="16"/>
        <w:spacing w:line="360" w:lineRule="auto"/>
        <w:outlineLvl w:val="9"/>
      </w:pPr>
      <w:bookmarkStart w:id="18" w:name="_Toc152045532"/>
      <w:bookmarkStart w:id="19" w:name="_Toc152042308"/>
      <w:bookmarkStart w:id="20" w:name="_Toc144974500"/>
      <w:bookmarkStart w:id="21" w:name="_Toc179632549"/>
      <w:r>
        <w:rPr>
          <w:rFonts w:hint="eastAsia"/>
        </w:rPr>
        <w:t>1.3 招标范围、计划工期和质量要求</w:t>
      </w:r>
      <w:bookmarkEnd w:id="18"/>
      <w:bookmarkEnd w:id="19"/>
      <w:bookmarkEnd w:id="20"/>
      <w:bookmarkEnd w:id="21"/>
    </w:p>
    <w:p>
      <w:pPr>
        <w:spacing w:line="360" w:lineRule="auto"/>
        <w:ind w:left="1995" w:leftChars="200" w:hanging="1575" w:hangingChars="750"/>
        <w:rPr>
          <w:rFonts w:ascii="宋体" w:hAnsi="宋体"/>
        </w:rPr>
      </w:pPr>
      <w:r>
        <w:rPr>
          <w:rFonts w:hint="eastAsia" w:ascii="宋体" w:hAnsi="宋体"/>
        </w:rPr>
        <w:t>1.3.1 招标范围：</w:t>
      </w:r>
      <w:r>
        <w:rPr>
          <w:rFonts w:hint="eastAsia"/>
          <w:sz w:val="21"/>
          <w:szCs w:val="21"/>
          <w:shd w:val="clear" w:color="auto" w:fill="FFFFFF"/>
          <w:lang w:eastAsia="zh-CN"/>
        </w:rPr>
        <w:t>宝山区月浦镇友谊村长塘海土地整理复垦项目</w:t>
      </w:r>
      <w:r>
        <w:rPr>
          <w:rFonts w:hint="eastAsia" w:ascii="宋体" w:hAnsi="宋体" w:cs="宋体"/>
          <w:bCs/>
          <w:color w:val="FF0000"/>
          <w:szCs w:val="21"/>
        </w:rPr>
        <w:t>，</w:t>
      </w:r>
      <w:r>
        <w:rPr>
          <w:rFonts w:hint="eastAsia" w:ascii="宋体" w:hAnsi="宋体" w:cs="宋体"/>
          <w:bCs/>
          <w:color w:val="000000" w:themeColor="text1"/>
          <w:szCs w:val="21"/>
        </w:rPr>
        <w:t>详见工程量清单</w:t>
      </w:r>
    </w:p>
    <w:p>
      <w:pPr>
        <w:spacing w:line="360" w:lineRule="auto"/>
        <w:ind w:left="1995" w:leftChars="200" w:hanging="1575" w:hangingChars="750"/>
        <w:rPr>
          <w:rFonts w:ascii="宋体" w:hAnsi="宋体"/>
        </w:rPr>
      </w:pPr>
      <w:r>
        <w:rPr>
          <w:rFonts w:hint="eastAsia" w:ascii="宋体" w:hAnsi="宋体"/>
        </w:rPr>
        <w:t>1.3.2 计划工期：详见前附表。</w:t>
      </w:r>
    </w:p>
    <w:p>
      <w:pPr>
        <w:spacing w:line="360" w:lineRule="auto"/>
        <w:ind w:left="1995" w:leftChars="200" w:hanging="1575" w:hangingChars="750"/>
        <w:rPr>
          <w:rFonts w:ascii="宋体" w:hAnsi="宋体"/>
        </w:rPr>
      </w:pPr>
      <w:r>
        <w:rPr>
          <w:rFonts w:hint="eastAsia" w:ascii="宋体" w:hAnsi="宋体"/>
        </w:rPr>
        <w:t>1.3.3 质量要求：详见前附表。</w:t>
      </w:r>
    </w:p>
    <w:p>
      <w:pPr>
        <w:pStyle w:val="16"/>
        <w:spacing w:line="360" w:lineRule="auto"/>
        <w:outlineLvl w:val="9"/>
      </w:pPr>
      <w:r>
        <w:rPr>
          <w:rFonts w:hint="eastAsia"/>
        </w:rPr>
        <w:t>1.4 对投标人资格要求</w:t>
      </w:r>
    </w:p>
    <w:p>
      <w:pPr>
        <w:spacing w:line="360" w:lineRule="auto"/>
        <w:ind w:left="1995" w:leftChars="200" w:hanging="1575" w:hangingChars="750"/>
        <w:rPr>
          <w:rFonts w:ascii="宋体" w:hAnsi="宋体"/>
        </w:rPr>
      </w:pPr>
      <w:r>
        <w:rPr>
          <w:rFonts w:hint="eastAsia" w:ascii="宋体" w:hAnsi="宋体"/>
        </w:rPr>
        <w:t>1.4.1 投标人应具备承担本标段施工的条件：</w:t>
      </w:r>
    </w:p>
    <w:p>
      <w:pPr>
        <w:spacing w:line="360" w:lineRule="auto"/>
        <w:ind w:left="1995" w:leftChars="200" w:hanging="1575" w:hangingChars="750"/>
        <w:rPr>
          <w:rFonts w:ascii="宋体" w:hAnsi="宋体"/>
        </w:rPr>
      </w:pPr>
      <w:r>
        <w:rPr>
          <w:rFonts w:hint="eastAsia" w:ascii="宋体" w:hAnsi="宋体"/>
        </w:rPr>
        <w:t>（1）资质等级：见投标人须知前附表。</w:t>
      </w:r>
    </w:p>
    <w:p>
      <w:pPr>
        <w:spacing w:line="360" w:lineRule="auto"/>
        <w:ind w:left="1995" w:leftChars="200" w:hanging="1575" w:hangingChars="750"/>
        <w:rPr>
          <w:rFonts w:ascii="宋体" w:hAnsi="宋体"/>
        </w:rPr>
      </w:pPr>
      <w:r>
        <w:rPr>
          <w:rFonts w:hint="eastAsia" w:ascii="宋体" w:hAnsi="宋体"/>
        </w:rPr>
        <w:t xml:space="preserve">1.4.2 投标人须知前附表规定接受联合体投标的，还应遵守以下规定： </w:t>
      </w:r>
    </w:p>
    <w:p>
      <w:pPr>
        <w:spacing w:line="360" w:lineRule="auto"/>
        <w:ind w:firstLine="420" w:firstLineChars="200"/>
        <w:rPr>
          <w:rFonts w:ascii="宋体" w:hAnsi="宋体"/>
        </w:rPr>
      </w:pPr>
      <w:r>
        <w:rPr>
          <w:rFonts w:hint="eastAsia" w:ascii="宋体" w:hAnsi="宋体"/>
        </w:rPr>
        <w:t>（1）联合体各方应按磋商文件提供的格式在其资质范围内签订共同投标协议，明确约定各方拟承担的工作和责任，并承诺一旦成交，联合体各方将就成交项目向招标人承担连带责任；如投标人在“共同投标协议”中未明确作出该项承诺，则招标人可以拒绝其投标。</w:t>
      </w:r>
    </w:p>
    <w:p>
      <w:pPr>
        <w:spacing w:line="360" w:lineRule="auto"/>
        <w:ind w:left="1995" w:leftChars="200" w:hanging="1575" w:hangingChars="750"/>
        <w:rPr>
          <w:rFonts w:ascii="宋体" w:hAnsi="宋体"/>
        </w:rPr>
      </w:pPr>
      <w:r>
        <w:rPr>
          <w:rFonts w:hint="eastAsia" w:ascii="宋体" w:hAnsi="宋体"/>
        </w:rPr>
        <w:t xml:space="preserve">（2）由同一专业的投标人组成的联合体，按照资质等级较低的投标人确定资质等级； </w:t>
      </w:r>
    </w:p>
    <w:p>
      <w:pPr>
        <w:spacing w:line="360" w:lineRule="auto"/>
        <w:ind w:left="1995" w:leftChars="200" w:hanging="1575" w:hangingChars="750"/>
        <w:rPr>
          <w:rFonts w:ascii="宋体" w:hAnsi="宋体"/>
        </w:rPr>
      </w:pPr>
      <w:r>
        <w:rPr>
          <w:rFonts w:hint="eastAsia" w:ascii="宋体" w:hAnsi="宋体"/>
        </w:rPr>
        <w:t>（3）联合体各方不得再以自己的名义单独或参加其他联合体在同一标段中的投标。</w:t>
      </w:r>
    </w:p>
    <w:p>
      <w:pPr>
        <w:spacing w:line="360" w:lineRule="auto"/>
        <w:ind w:left="1995" w:leftChars="200" w:hanging="1575" w:hangingChars="750"/>
        <w:rPr>
          <w:rFonts w:ascii="宋体" w:hAnsi="宋体"/>
        </w:rPr>
      </w:pPr>
      <w:r>
        <w:rPr>
          <w:rFonts w:hint="eastAsia" w:ascii="宋体" w:hAnsi="宋体"/>
        </w:rPr>
        <w:t>1.4.3 投标人不得存在下列情形之一：</w:t>
      </w:r>
    </w:p>
    <w:p>
      <w:pPr>
        <w:spacing w:line="360" w:lineRule="auto"/>
        <w:ind w:left="1995" w:leftChars="200" w:hanging="1575" w:hangingChars="750"/>
        <w:rPr>
          <w:rFonts w:ascii="宋体" w:hAnsi="宋体"/>
        </w:rPr>
      </w:pPr>
      <w:r>
        <w:rPr>
          <w:rFonts w:hint="eastAsia" w:ascii="宋体" w:hAnsi="宋体"/>
        </w:rPr>
        <w:t xml:space="preserve">（1）为招标人不具有独立法人资格的附属机构（单位）； </w:t>
      </w:r>
    </w:p>
    <w:p>
      <w:pPr>
        <w:spacing w:line="360" w:lineRule="auto"/>
        <w:ind w:left="1995" w:leftChars="200" w:hanging="1575" w:hangingChars="750"/>
        <w:rPr>
          <w:rFonts w:ascii="宋体" w:hAnsi="宋体"/>
        </w:rPr>
      </w:pPr>
      <w:r>
        <w:rPr>
          <w:rFonts w:hint="eastAsia" w:ascii="宋体" w:hAnsi="宋体"/>
        </w:rPr>
        <w:t xml:space="preserve">（2）为本标段前期准备提供设计或咨询服务的，但设计施工总承包的除外； </w:t>
      </w:r>
    </w:p>
    <w:p>
      <w:pPr>
        <w:spacing w:line="360" w:lineRule="auto"/>
        <w:ind w:left="1995" w:leftChars="200" w:hanging="1575" w:hangingChars="750"/>
        <w:rPr>
          <w:rFonts w:ascii="宋体" w:hAnsi="宋体"/>
        </w:rPr>
      </w:pPr>
      <w:r>
        <w:rPr>
          <w:rFonts w:hint="eastAsia" w:ascii="宋体" w:hAnsi="宋体"/>
        </w:rPr>
        <w:t>（3）为本标段的监理人；</w:t>
      </w:r>
    </w:p>
    <w:p>
      <w:pPr>
        <w:spacing w:line="360" w:lineRule="auto"/>
        <w:ind w:left="1995" w:leftChars="200" w:hanging="1575" w:hangingChars="750"/>
        <w:rPr>
          <w:rFonts w:ascii="宋体" w:hAnsi="宋体"/>
        </w:rPr>
      </w:pPr>
      <w:r>
        <w:rPr>
          <w:rFonts w:hint="eastAsia" w:ascii="宋体" w:hAnsi="宋体"/>
        </w:rPr>
        <w:t xml:space="preserve">（4）为本标段的代建人； </w:t>
      </w:r>
    </w:p>
    <w:p>
      <w:pPr>
        <w:spacing w:line="360" w:lineRule="auto"/>
        <w:ind w:left="1995" w:leftChars="200" w:hanging="1575" w:hangingChars="750"/>
        <w:rPr>
          <w:rFonts w:ascii="宋体" w:hAnsi="宋体"/>
        </w:rPr>
      </w:pPr>
      <w:r>
        <w:rPr>
          <w:rFonts w:hint="eastAsia" w:ascii="宋体" w:hAnsi="宋体"/>
        </w:rPr>
        <w:t xml:space="preserve">（5）为本标段提供招标代理服务的； </w:t>
      </w:r>
    </w:p>
    <w:p>
      <w:pPr>
        <w:spacing w:line="360" w:lineRule="auto"/>
        <w:ind w:left="1995" w:leftChars="200" w:hanging="1575" w:hangingChars="750"/>
        <w:rPr>
          <w:rFonts w:ascii="宋体" w:hAnsi="宋体"/>
        </w:rPr>
      </w:pPr>
      <w:r>
        <w:rPr>
          <w:rFonts w:hint="eastAsia" w:ascii="宋体" w:hAnsi="宋体"/>
        </w:rPr>
        <w:t>（6）与本标段的监理人或代建人或招标代理机构或其他投标人法定代表人为同一人的；</w:t>
      </w:r>
    </w:p>
    <w:p>
      <w:pPr>
        <w:spacing w:line="360" w:lineRule="auto"/>
        <w:ind w:left="1995" w:leftChars="200" w:hanging="1575" w:hangingChars="750"/>
        <w:rPr>
          <w:rFonts w:ascii="宋体" w:hAnsi="宋体"/>
        </w:rPr>
      </w:pPr>
      <w:r>
        <w:rPr>
          <w:rFonts w:hint="eastAsia" w:ascii="宋体" w:hAnsi="宋体"/>
        </w:rPr>
        <w:t>（7）与本标段的监理人或代建人或招标代理机构或其他投标人相互控股或参股的；</w:t>
      </w:r>
    </w:p>
    <w:p>
      <w:pPr>
        <w:spacing w:line="360" w:lineRule="auto"/>
        <w:ind w:left="1995" w:leftChars="200" w:hanging="1575" w:hangingChars="750"/>
        <w:rPr>
          <w:rFonts w:ascii="宋体" w:hAnsi="宋体"/>
        </w:rPr>
      </w:pPr>
      <w:r>
        <w:rPr>
          <w:rFonts w:hint="eastAsia" w:ascii="宋体" w:hAnsi="宋体"/>
        </w:rPr>
        <w:t>（8）与本标段的监理人或代建人或招标代理机构或其他投标人相互任职或工作的；</w:t>
      </w:r>
    </w:p>
    <w:p>
      <w:pPr>
        <w:spacing w:line="360" w:lineRule="auto"/>
        <w:ind w:left="1995" w:leftChars="200" w:hanging="1575" w:hangingChars="750"/>
        <w:rPr>
          <w:rFonts w:ascii="宋体" w:hAnsi="宋体"/>
        </w:rPr>
      </w:pPr>
      <w:r>
        <w:rPr>
          <w:rFonts w:hint="eastAsia" w:ascii="宋体" w:hAnsi="宋体"/>
        </w:rPr>
        <w:t xml:space="preserve">（9）被责令停业的； </w:t>
      </w:r>
    </w:p>
    <w:p>
      <w:pPr>
        <w:spacing w:line="360" w:lineRule="auto"/>
        <w:ind w:left="1995" w:leftChars="200" w:hanging="1575" w:hangingChars="750"/>
        <w:rPr>
          <w:rFonts w:ascii="宋体" w:hAnsi="宋体"/>
        </w:rPr>
      </w:pPr>
      <w:r>
        <w:rPr>
          <w:rFonts w:hint="eastAsia" w:ascii="宋体" w:hAnsi="宋体"/>
        </w:rPr>
        <w:t xml:space="preserve">（10）被暂停或取消投标资格的； </w:t>
      </w:r>
    </w:p>
    <w:p>
      <w:pPr>
        <w:spacing w:line="360" w:lineRule="auto"/>
        <w:ind w:left="1995" w:leftChars="200" w:hanging="1575" w:hangingChars="750"/>
        <w:rPr>
          <w:rFonts w:ascii="宋体" w:hAnsi="宋体"/>
        </w:rPr>
      </w:pPr>
      <w:r>
        <w:rPr>
          <w:rFonts w:hint="eastAsia" w:ascii="宋体" w:hAnsi="宋体"/>
        </w:rPr>
        <w:t>（11）财产被接管或冻结的；</w:t>
      </w:r>
    </w:p>
    <w:p>
      <w:pPr>
        <w:spacing w:line="360" w:lineRule="auto"/>
        <w:ind w:left="1995" w:leftChars="200" w:hanging="1575" w:hangingChars="750"/>
        <w:rPr>
          <w:rFonts w:ascii="宋体" w:hAnsi="宋体"/>
        </w:rPr>
      </w:pPr>
      <w:r>
        <w:rPr>
          <w:rFonts w:hint="eastAsia" w:ascii="宋体" w:hAnsi="宋体"/>
        </w:rPr>
        <w:t>（12）在最近三年内有骗取成交或严重违约或重大工程质量问题的。</w:t>
      </w:r>
    </w:p>
    <w:p>
      <w:pPr>
        <w:pStyle w:val="16"/>
        <w:spacing w:line="360" w:lineRule="auto"/>
        <w:outlineLvl w:val="9"/>
      </w:pPr>
      <w:bookmarkStart w:id="22" w:name="_Toc152042311"/>
      <w:bookmarkStart w:id="23" w:name="_Toc152045535"/>
      <w:bookmarkStart w:id="24" w:name="_Toc144974503"/>
      <w:bookmarkStart w:id="25" w:name="_Toc179632552"/>
      <w:r>
        <w:rPr>
          <w:rFonts w:hint="eastAsia"/>
        </w:rPr>
        <w:t>1.5 费用承担</w:t>
      </w:r>
      <w:bookmarkEnd w:id="22"/>
      <w:bookmarkEnd w:id="23"/>
      <w:bookmarkEnd w:id="24"/>
      <w:bookmarkEnd w:id="25"/>
    </w:p>
    <w:p>
      <w:pPr>
        <w:spacing w:line="360" w:lineRule="auto"/>
        <w:ind w:left="1995" w:leftChars="200" w:hanging="1575" w:hangingChars="750"/>
        <w:rPr>
          <w:rFonts w:ascii="宋体" w:hAnsi="宋体"/>
        </w:rPr>
      </w:pPr>
      <w:r>
        <w:rPr>
          <w:rFonts w:hint="eastAsia" w:ascii="宋体" w:hAnsi="宋体"/>
        </w:rPr>
        <w:t>投标人准备和参加投标活动发生的费用自理。</w:t>
      </w:r>
    </w:p>
    <w:p>
      <w:pPr>
        <w:pStyle w:val="16"/>
        <w:spacing w:line="360" w:lineRule="auto"/>
        <w:outlineLvl w:val="9"/>
      </w:pPr>
      <w:bookmarkStart w:id="26" w:name="_Toc179632553"/>
      <w:bookmarkStart w:id="27" w:name="_Toc152042312"/>
      <w:bookmarkStart w:id="28" w:name="_Toc152045536"/>
      <w:bookmarkStart w:id="29" w:name="_Toc144974504"/>
      <w:r>
        <w:rPr>
          <w:rFonts w:hint="eastAsia"/>
        </w:rPr>
        <w:t>1.6 保密</w:t>
      </w:r>
      <w:bookmarkEnd w:id="26"/>
      <w:bookmarkEnd w:id="27"/>
      <w:bookmarkEnd w:id="28"/>
      <w:bookmarkEnd w:id="29"/>
    </w:p>
    <w:p>
      <w:pPr>
        <w:spacing w:line="360" w:lineRule="auto"/>
        <w:ind w:firstLine="420" w:firstLineChars="200"/>
      </w:pPr>
      <w:r>
        <w:rPr>
          <w:rFonts w:hint="eastAsia"/>
        </w:rPr>
        <w:t xml:space="preserve">参与竞争性磋商活动的各方应对磋商文件和响应文件中的商业和技术等秘密保密，违者应对由此造成的后果承担法律责任。 </w:t>
      </w:r>
    </w:p>
    <w:p>
      <w:pPr>
        <w:pStyle w:val="16"/>
        <w:spacing w:line="360" w:lineRule="auto"/>
        <w:outlineLvl w:val="9"/>
      </w:pPr>
      <w:bookmarkStart w:id="30" w:name="_Toc144974505"/>
      <w:bookmarkStart w:id="31" w:name="_Toc152045537"/>
      <w:bookmarkStart w:id="32" w:name="_Toc152042313"/>
      <w:bookmarkStart w:id="33" w:name="_Toc179632554"/>
      <w:r>
        <w:rPr>
          <w:rFonts w:hint="eastAsia"/>
        </w:rPr>
        <w:t>1.7 语言</w:t>
      </w:r>
      <w:bookmarkEnd w:id="30"/>
      <w:r>
        <w:rPr>
          <w:rFonts w:hint="eastAsia"/>
        </w:rPr>
        <w:t>文字</w:t>
      </w:r>
      <w:bookmarkEnd w:id="31"/>
      <w:bookmarkEnd w:id="32"/>
      <w:bookmarkEnd w:id="33"/>
    </w:p>
    <w:p>
      <w:pPr>
        <w:spacing w:line="360" w:lineRule="auto"/>
        <w:ind w:firstLine="420" w:firstLineChars="200"/>
      </w:pPr>
      <w:r>
        <w:rPr>
          <w:rFonts w:hint="eastAsia"/>
        </w:rPr>
        <w:t>除专用术语外，与竞争性磋商有关的语言均使用中文。必要时专用术语应附有中文注释。</w:t>
      </w:r>
    </w:p>
    <w:p>
      <w:pPr>
        <w:pStyle w:val="16"/>
        <w:spacing w:line="360" w:lineRule="auto"/>
        <w:outlineLvl w:val="9"/>
      </w:pPr>
      <w:bookmarkStart w:id="34" w:name="_Toc152042314"/>
      <w:bookmarkStart w:id="35" w:name="_Toc152045538"/>
      <w:bookmarkStart w:id="36" w:name="_Toc179632555"/>
      <w:bookmarkStart w:id="37" w:name="_Toc144974506"/>
      <w:r>
        <w:rPr>
          <w:rFonts w:hint="eastAsia"/>
        </w:rPr>
        <w:t>1.8 计量单位</w:t>
      </w:r>
      <w:bookmarkEnd w:id="34"/>
      <w:bookmarkEnd w:id="35"/>
      <w:bookmarkEnd w:id="36"/>
      <w:bookmarkEnd w:id="37"/>
    </w:p>
    <w:p>
      <w:pPr>
        <w:spacing w:line="360" w:lineRule="auto"/>
        <w:ind w:firstLine="420" w:firstLineChars="200"/>
      </w:pPr>
      <w:r>
        <w:rPr>
          <w:rFonts w:hint="eastAsia"/>
        </w:rPr>
        <w:t>所有计量均采用中华人民共和国法定计量单位。</w:t>
      </w:r>
    </w:p>
    <w:p>
      <w:pPr>
        <w:pStyle w:val="16"/>
        <w:spacing w:line="360" w:lineRule="auto"/>
        <w:outlineLvl w:val="9"/>
      </w:pPr>
      <w:bookmarkStart w:id="38" w:name="_Toc144974507"/>
      <w:bookmarkStart w:id="39" w:name="_Toc152045539"/>
      <w:bookmarkStart w:id="40" w:name="_Toc179632556"/>
      <w:bookmarkStart w:id="41" w:name="_Toc152042315"/>
      <w:r>
        <w:rPr>
          <w:rFonts w:hint="eastAsia"/>
        </w:rPr>
        <w:t>1.9 踏勘现场</w:t>
      </w:r>
      <w:bookmarkEnd w:id="38"/>
      <w:bookmarkEnd w:id="39"/>
      <w:bookmarkEnd w:id="40"/>
      <w:bookmarkEnd w:id="41"/>
      <w:r>
        <w:rPr>
          <w:rFonts w:hint="eastAsia"/>
        </w:rPr>
        <w:t>（</w:t>
      </w:r>
      <w:r>
        <w:rPr>
          <w:rFonts w:hint="eastAsia"/>
          <w:color w:val="000000" w:themeColor="text1"/>
        </w:rPr>
        <w:t>自行踏勘</w:t>
      </w:r>
      <w:r>
        <w:rPr>
          <w:rFonts w:hint="eastAsia"/>
        </w:rPr>
        <w:t>）</w:t>
      </w:r>
    </w:p>
    <w:p>
      <w:pPr>
        <w:spacing w:line="360" w:lineRule="auto"/>
        <w:ind w:firstLine="420" w:firstLineChars="200"/>
        <w:rPr>
          <w:rFonts w:ascii="宋体" w:hAnsi="宋体"/>
        </w:rPr>
      </w:pPr>
      <w:r>
        <w:rPr>
          <w:rFonts w:hint="eastAsia" w:ascii="宋体" w:hAnsi="宋体"/>
        </w:rPr>
        <w:t xml:space="preserve">1.9.1招标人应按投标人须知前附表规定的时间、地点组织投标人踏勘项目现场。 </w:t>
      </w:r>
    </w:p>
    <w:p>
      <w:pPr>
        <w:spacing w:line="360" w:lineRule="auto"/>
        <w:ind w:firstLine="420" w:firstLineChars="200"/>
        <w:rPr>
          <w:rFonts w:ascii="宋体" w:hAnsi="宋体"/>
        </w:rPr>
      </w:pPr>
      <w:r>
        <w:rPr>
          <w:rFonts w:hint="eastAsia" w:ascii="宋体" w:hAnsi="宋体"/>
        </w:rPr>
        <w:t>1.9.2 投标人踏勘现场发生的费用自理。除招标人的原因外，投标人自行负责在踏勘现场中所发生的人员伤亡和财产损失。招标人在踏勘现场中介绍的工程场地和相关的周边环境情况，供投标人在编制响应文件时参考，招标人不对投标人据此作出的判断和决策负责。</w:t>
      </w:r>
    </w:p>
    <w:p>
      <w:pPr>
        <w:spacing w:before="360" w:line="360" w:lineRule="auto"/>
        <w:rPr>
          <w:b/>
          <w:bCs/>
          <w:sz w:val="28"/>
          <w:szCs w:val="28"/>
        </w:rPr>
      </w:pPr>
      <w:bookmarkStart w:id="42" w:name="_Toc354060218"/>
      <w:bookmarkStart w:id="43" w:name="_Toc144974510"/>
      <w:bookmarkStart w:id="44" w:name="_Toc152045542"/>
      <w:bookmarkStart w:id="45" w:name="_Toc179632560"/>
      <w:bookmarkStart w:id="46" w:name="_Toc152042318"/>
      <w:r>
        <w:rPr>
          <w:rFonts w:hint="eastAsia"/>
          <w:b/>
          <w:bCs/>
          <w:sz w:val="28"/>
          <w:szCs w:val="28"/>
        </w:rPr>
        <w:t xml:space="preserve">2. </w:t>
      </w:r>
      <w:bookmarkEnd w:id="42"/>
      <w:bookmarkEnd w:id="43"/>
      <w:bookmarkEnd w:id="44"/>
      <w:bookmarkEnd w:id="45"/>
      <w:bookmarkEnd w:id="46"/>
      <w:r>
        <w:rPr>
          <w:rFonts w:hint="eastAsia"/>
          <w:b/>
          <w:bCs/>
          <w:sz w:val="28"/>
          <w:szCs w:val="28"/>
        </w:rPr>
        <w:t>磋商文件</w:t>
      </w:r>
    </w:p>
    <w:p>
      <w:pPr>
        <w:pStyle w:val="16"/>
        <w:spacing w:line="360" w:lineRule="auto"/>
        <w:outlineLvl w:val="9"/>
      </w:pPr>
      <w:bookmarkStart w:id="47" w:name="_Toc179632561"/>
      <w:bookmarkStart w:id="48" w:name="_Toc152042319"/>
      <w:bookmarkStart w:id="49" w:name="_Toc144974511"/>
      <w:bookmarkStart w:id="50" w:name="_Toc152045543"/>
      <w:r>
        <w:rPr>
          <w:rFonts w:hint="eastAsia"/>
        </w:rPr>
        <w:t>2.1 磋商文件的组成</w:t>
      </w:r>
      <w:bookmarkEnd w:id="47"/>
      <w:bookmarkEnd w:id="48"/>
      <w:bookmarkEnd w:id="49"/>
      <w:bookmarkEnd w:id="50"/>
    </w:p>
    <w:p>
      <w:pPr>
        <w:spacing w:line="360" w:lineRule="auto"/>
        <w:ind w:firstLine="420" w:firstLineChars="200"/>
        <w:rPr>
          <w:rFonts w:ascii="宋体" w:hAnsi="宋体"/>
        </w:rPr>
      </w:pPr>
      <w:r>
        <w:rPr>
          <w:rFonts w:hint="eastAsia" w:ascii="宋体" w:hAnsi="宋体"/>
        </w:rPr>
        <w:t>2.1.1竞争性磋商公告；</w:t>
      </w:r>
    </w:p>
    <w:p>
      <w:pPr>
        <w:spacing w:line="360" w:lineRule="auto"/>
        <w:ind w:firstLine="420" w:firstLineChars="200"/>
        <w:rPr>
          <w:rFonts w:ascii="宋体" w:hAnsi="宋体"/>
        </w:rPr>
      </w:pPr>
      <w:r>
        <w:rPr>
          <w:rFonts w:hint="eastAsia" w:ascii="宋体" w:hAnsi="宋体"/>
        </w:rPr>
        <w:t>2.1.2投标人须知；</w:t>
      </w:r>
    </w:p>
    <w:p>
      <w:pPr>
        <w:spacing w:line="360" w:lineRule="auto"/>
        <w:ind w:firstLine="420" w:firstLineChars="200"/>
        <w:rPr>
          <w:rFonts w:ascii="宋体" w:hAnsi="宋体"/>
        </w:rPr>
      </w:pPr>
      <w:r>
        <w:rPr>
          <w:rFonts w:hint="eastAsia" w:ascii="宋体" w:hAnsi="宋体"/>
        </w:rPr>
        <w:t>2.1.3评审办法；</w:t>
      </w:r>
    </w:p>
    <w:p>
      <w:pPr>
        <w:spacing w:line="360" w:lineRule="auto"/>
        <w:ind w:firstLine="420" w:firstLineChars="200"/>
        <w:rPr>
          <w:rFonts w:ascii="宋体" w:hAnsi="宋体"/>
        </w:rPr>
      </w:pPr>
      <w:r>
        <w:rPr>
          <w:rFonts w:hint="eastAsia" w:ascii="宋体" w:hAnsi="宋体"/>
        </w:rPr>
        <w:t>2.1.4合同条款及格式；</w:t>
      </w:r>
    </w:p>
    <w:p>
      <w:pPr>
        <w:spacing w:line="360" w:lineRule="auto"/>
        <w:ind w:firstLine="420" w:firstLineChars="200"/>
        <w:rPr>
          <w:rFonts w:ascii="宋体" w:hAnsi="宋体"/>
        </w:rPr>
      </w:pPr>
      <w:r>
        <w:rPr>
          <w:rFonts w:hint="eastAsia" w:ascii="宋体" w:hAnsi="宋体"/>
        </w:rPr>
        <w:t>2.1.5工程量清单；</w:t>
      </w:r>
    </w:p>
    <w:p>
      <w:pPr>
        <w:spacing w:line="360" w:lineRule="auto"/>
        <w:ind w:firstLine="420" w:firstLineChars="200"/>
      </w:pPr>
      <w:r>
        <w:rPr>
          <w:rFonts w:hint="eastAsia" w:ascii="宋体" w:hAnsi="宋体"/>
        </w:rPr>
        <w:t>2.1.6图纸；</w:t>
      </w:r>
    </w:p>
    <w:p>
      <w:pPr>
        <w:spacing w:line="360" w:lineRule="auto"/>
        <w:ind w:firstLine="420" w:firstLineChars="200"/>
        <w:rPr>
          <w:rFonts w:ascii="宋体" w:hAnsi="宋体"/>
        </w:rPr>
      </w:pPr>
      <w:r>
        <w:rPr>
          <w:rFonts w:hint="eastAsia" w:ascii="宋体" w:hAnsi="宋体"/>
        </w:rPr>
        <w:t xml:space="preserve">2.1.7技术标准和要求； </w:t>
      </w:r>
    </w:p>
    <w:p>
      <w:pPr>
        <w:spacing w:line="360" w:lineRule="auto"/>
        <w:ind w:firstLine="420" w:firstLineChars="200"/>
        <w:rPr>
          <w:rFonts w:ascii="宋体" w:hAnsi="宋体"/>
        </w:rPr>
      </w:pPr>
      <w:r>
        <w:rPr>
          <w:rFonts w:hint="eastAsia" w:ascii="宋体" w:hAnsi="宋体"/>
        </w:rPr>
        <w:t>2.1.8投标人须知前附表规定的其他材料。</w:t>
      </w:r>
    </w:p>
    <w:p>
      <w:pPr>
        <w:pStyle w:val="16"/>
        <w:spacing w:line="360" w:lineRule="auto"/>
        <w:outlineLvl w:val="9"/>
      </w:pPr>
      <w:bookmarkStart w:id="51" w:name="_Toc152042321"/>
      <w:bookmarkStart w:id="52" w:name="_Toc179632563"/>
      <w:bookmarkStart w:id="53" w:name="_Toc144974513"/>
      <w:bookmarkStart w:id="54" w:name="_Toc152045545"/>
      <w:r>
        <w:rPr>
          <w:rFonts w:hint="eastAsia"/>
        </w:rPr>
        <w:t>2.2 磋商文件的修改</w:t>
      </w:r>
      <w:bookmarkEnd w:id="51"/>
      <w:bookmarkEnd w:id="52"/>
      <w:bookmarkEnd w:id="53"/>
      <w:bookmarkEnd w:id="54"/>
    </w:p>
    <w:p>
      <w:pPr>
        <w:spacing w:line="360" w:lineRule="auto"/>
        <w:ind w:firstLine="420" w:firstLineChars="200"/>
        <w:rPr>
          <w:rFonts w:ascii="宋体" w:hAnsi="宋体"/>
        </w:rPr>
      </w:pPr>
      <w:r>
        <w:rPr>
          <w:rFonts w:hint="eastAsia" w:ascii="宋体" w:hAnsi="宋体"/>
        </w:rPr>
        <w:t>2.2.1在磋商响应截止时间前，招标人可以书面形式修改磋商文件（并通过</w:t>
      </w:r>
      <w:r>
        <w:rPr>
          <w:rFonts w:hint="eastAsia"/>
        </w:rPr>
        <w:t>“中国招标投标公共服务平台”发布更正公告</w:t>
      </w:r>
      <w:r>
        <w:rPr>
          <w:rFonts w:hint="eastAsia" w:ascii="宋体" w:hAnsi="宋体"/>
        </w:rPr>
        <w:t xml:space="preserve">），作为补充磋商文件发放给所有已购买磋商文件的供应商。如果修改磋商文件的时间距磋商响应截止时间不足5日，则相应延长磋商响应截止时间。 </w:t>
      </w:r>
    </w:p>
    <w:p>
      <w:pPr>
        <w:spacing w:line="360" w:lineRule="auto"/>
        <w:ind w:firstLine="420" w:firstLineChars="200"/>
        <w:rPr>
          <w:rFonts w:ascii="宋体" w:hAnsi="宋体"/>
        </w:rPr>
      </w:pPr>
      <w:r>
        <w:rPr>
          <w:rFonts w:hint="eastAsia" w:ascii="宋体" w:hAnsi="宋体"/>
        </w:rPr>
        <w:t>2.2.2 供应商收到补充磋商文件后，应及时向招标人以书面方式确认其收到。</w:t>
      </w:r>
    </w:p>
    <w:p>
      <w:pPr>
        <w:spacing w:before="360" w:line="360" w:lineRule="auto"/>
        <w:rPr>
          <w:b/>
          <w:bCs/>
          <w:sz w:val="28"/>
          <w:szCs w:val="28"/>
        </w:rPr>
      </w:pPr>
      <w:bookmarkStart w:id="55" w:name="_Toc144974514"/>
      <w:bookmarkStart w:id="56" w:name="_Toc179632564"/>
      <w:bookmarkStart w:id="57" w:name="_Toc354060219"/>
      <w:bookmarkStart w:id="58" w:name="_Toc152042322"/>
      <w:bookmarkStart w:id="59" w:name="_Toc152045546"/>
      <w:r>
        <w:rPr>
          <w:rFonts w:hint="eastAsia"/>
          <w:b/>
          <w:bCs/>
          <w:sz w:val="28"/>
          <w:szCs w:val="28"/>
        </w:rPr>
        <w:t xml:space="preserve">3. </w:t>
      </w:r>
      <w:bookmarkEnd w:id="55"/>
      <w:bookmarkEnd w:id="56"/>
      <w:bookmarkEnd w:id="57"/>
      <w:bookmarkEnd w:id="58"/>
      <w:bookmarkEnd w:id="59"/>
      <w:r>
        <w:rPr>
          <w:rFonts w:hint="eastAsia"/>
          <w:b/>
          <w:bCs/>
          <w:sz w:val="28"/>
          <w:szCs w:val="28"/>
        </w:rPr>
        <w:t>响应文件</w:t>
      </w:r>
    </w:p>
    <w:p>
      <w:pPr>
        <w:pStyle w:val="16"/>
        <w:spacing w:line="360" w:lineRule="auto"/>
        <w:outlineLvl w:val="9"/>
      </w:pPr>
      <w:bookmarkStart w:id="60" w:name="_Toc152045547"/>
      <w:bookmarkStart w:id="61" w:name="_Toc179632565"/>
      <w:bookmarkStart w:id="62" w:name="_Toc144974515"/>
      <w:bookmarkStart w:id="63" w:name="_Toc152042323"/>
      <w:r>
        <w:rPr>
          <w:rFonts w:hint="eastAsia"/>
        </w:rPr>
        <w:t>3.1 响应文件的组成</w:t>
      </w:r>
      <w:bookmarkEnd w:id="60"/>
      <w:bookmarkEnd w:id="61"/>
      <w:bookmarkEnd w:id="62"/>
      <w:bookmarkEnd w:id="63"/>
    </w:p>
    <w:p>
      <w:pPr>
        <w:spacing w:line="360" w:lineRule="auto"/>
        <w:ind w:firstLine="420" w:firstLineChars="200"/>
        <w:rPr>
          <w:rFonts w:ascii="宋体" w:hAnsi="宋体"/>
        </w:rPr>
      </w:pPr>
      <w:r>
        <w:rPr>
          <w:rFonts w:hint="eastAsia" w:ascii="宋体" w:hAnsi="宋体"/>
        </w:rPr>
        <w:t>3.1.1投标函及投标函附录、上海市建设工程施工投标标书情况汇总表、投标总价；</w:t>
      </w:r>
    </w:p>
    <w:p>
      <w:pPr>
        <w:spacing w:line="360" w:lineRule="auto"/>
        <w:ind w:firstLine="420" w:firstLineChars="200"/>
        <w:rPr>
          <w:rFonts w:ascii="宋体" w:hAnsi="宋体"/>
        </w:rPr>
      </w:pPr>
      <w:r>
        <w:rPr>
          <w:rFonts w:hint="eastAsia" w:ascii="宋体" w:hAnsi="宋体"/>
        </w:rPr>
        <w:t xml:space="preserve">3.1.2法定代表人身份证明及附有法定代表授权委托人身份证明的授权委托书； </w:t>
      </w:r>
    </w:p>
    <w:p>
      <w:pPr>
        <w:spacing w:line="360" w:lineRule="auto"/>
        <w:ind w:firstLine="420" w:firstLineChars="200"/>
        <w:rPr>
          <w:rFonts w:ascii="宋体" w:hAnsi="宋体"/>
        </w:rPr>
      </w:pPr>
      <w:r>
        <w:rPr>
          <w:rFonts w:hint="eastAsia" w:ascii="宋体" w:hAnsi="宋体"/>
        </w:rPr>
        <w:t>3.1.3共同投标协议书；（投标人须知前附表规定不接受联合体投标的，无需提供）</w:t>
      </w:r>
    </w:p>
    <w:p>
      <w:pPr>
        <w:spacing w:line="360" w:lineRule="auto"/>
        <w:ind w:firstLine="420" w:firstLineChars="200"/>
        <w:rPr>
          <w:rFonts w:ascii="宋体" w:hAnsi="宋体"/>
        </w:rPr>
      </w:pPr>
      <w:r>
        <w:rPr>
          <w:rFonts w:hint="eastAsia" w:ascii="宋体" w:hAnsi="宋体"/>
        </w:rPr>
        <w:t>3.1.4磋商保证金；（无）</w:t>
      </w:r>
    </w:p>
    <w:p>
      <w:pPr>
        <w:spacing w:line="360" w:lineRule="auto"/>
        <w:ind w:firstLine="420" w:firstLineChars="200"/>
        <w:rPr>
          <w:rFonts w:ascii="宋体" w:hAnsi="宋体"/>
        </w:rPr>
      </w:pPr>
      <w:r>
        <w:rPr>
          <w:rFonts w:hint="eastAsia" w:ascii="宋体" w:hAnsi="宋体"/>
        </w:rPr>
        <w:t>3.1.5已标价工程量清单；</w:t>
      </w:r>
    </w:p>
    <w:p>
      <w:pPr>
        <w:spacing w:line="360" w:lineRule="auto"/>
        <w:ind w:firstLine="420" w:firstLineChars="200"/>
        <w:rPr>
          <w:rFonts w:ascii="宋体" w:hAnsi="宋体"/>
        </w:rPr>
      </w:pPr>
      <w:r>
        <w:rPr>
          <w:rFonts w:hint="eastAsia" w:ascii="宋体" w:hAnsi="宋体"/>
        </w:rPr>
        <w:t xml:space="preserve">3.1.6施工组织设计； </w:t>
      </w:r>
    </w:p>
    <w:p>
      <w:pPr>
        <w:spacing w:line="360" w:lineRule="auto"/>
        <w:ind w:firstLine="420" w:firstLineChars="200"/>
        <w:rPr>
          <w:rFonts w:ascii="宋体" w:hAnsi="宋体"/>
        </w:rPr>
      </w:pPr>
      <w:r>
        <w:rPr>
          <w:rFonts w:hint="eastAsia" w:ascii="宋体" w:hAnsi="宋体"/>
        </w:rPr>
        <w:t>3.1.7项目管理机构人员情况表；</w:t>
      </w:r>
    </w:p>
    <w:p>
      <w:pPr>
        <w:spacing w:line="360" w:lineRule="auto"/>
        <w:ind w:firstLine="420" w:firstLineChars="200"/>
        <w:rPr>
          <w:rFonts w:ascii="宋体" w:hAnsi="宋体"/>
        </w:rPr>
      </w:pPr>
      <w:r>
        <w:rPr>
          <w:rFonts w:hint="eastAsia" w:ascii="宋体" w:hAnsi="宋体"/>
        </w:rPr>
        <w:t>3.1.8拟分包项目情况表；</w:t>
      </w:r>
    </w:p>
    <w:p>
      <w:pPr>
        <w:spacing w:line="360" w:lineRule="auto"/>
        <w:ind w:firstLine="420" w:firstLineChars="200"/>
        <w:rPr>
          <w:rFonts w:ascii="宋体" w:hAnsi="宋体"/>
        </w:rPr>
      </w:pPr>
      <w:r>
        <w:rPr>
          <w:rFonts w:hint="eastAsia" w:ascii="宋体" w:hAnsi="宋体"/>
        </w:rPr>
        <w:t>3.1.9资格审查资料；</w:t>
      </w:r>
    </w:p>
    <w:p>
      <w:pPr>
        <w:spacing w:line="360" w:lineRule="auto"/>
        <w:ind w:firstLine="420" w:firstLineChars="200"/>
        <w:rPr>
          <w:rFonts w:ascii="宋体" w:hAnsi="宋体"/>
        </w:rPr>
      </w:pPr>
      <w:r>
        <w:rPr>
          <w:rFonts w:hint="eastAsia" w:ascii="宋体" w:hAnsi="宋体"/>
        </w:rPr>
        <w:t>3.1.10投标人须知前附表规定的其他材料；</w:t>
      </w:r>
    </w:p>
    <w:p>
      <w:pPr>
        <w:spacing w:line="360" w:lineRule="auto"/>
        <w:ind w:firstLine="420" w:firstLineChars="200"/>
        <w:rPr>
          <w:rFonts w:ascii="宋体" w:hAnsi="宋体"/>
        </w:rPr>
      </w:pPr>
      <w:r>
        <w:rPr>
          <w:rFonts w:hint="eastAsia" w:ascii="宋体" w:hAnsi="宋体"/>
        </w:rPr>
        <w:t>3.1.11以及其他投标人认为应当补充的相关材料。</w:t>
      </w:r>
    </w:p>
    <w:p>
      <w:pPr>
        <w:pStyle w:val="16"/>
        <w:spacing w:line="360" w:lineRule="auto"/>
        <w:outlineLvl w:val="9"/>
      </w:pPr>
      <w:bookmarkStart w:id="64" w:name="_Toc179632566"/>
      <w:bookmarkStart w:id="65" w:name="_Toc152042324"/>
      <w:bookmarkStart w:id="66" w:name="_Toc144974516"/>
      <w:bookmarkStart w:id="67" w:name="_Toc152045548"/>
      <w:r>
        <w:rPr>
          <w:rFonts w:hint="eastAsia"/>
        </w:rPr>
        <w:t>3.2 磋商报价</w:t>
      </w:r>
      <w:bookmarkEnd w:id="64"/>
      <w:bookmarkEnd w:id="65"/>
      <w:bookmarkEnd w:id="66"/>
      <w:bookmarkEnd w:id="67"/>
      <w:r>
        <w:rPr>
          <w:rFonts w:hint="eastAsia"/>
        </w:rPr>
        <w:t>依据</w:t>
      </w:r>
    </w:p>
    <w:p>
      <w:pPr>
        <w:spacing w:line="360" w:lineRule="auto"/>
        <w:ind w:firstLine="420"/>
        <w:rPr>
          <w:rFonts w:ascii="宋体" w:hAnsi="宋体"/>
        </w:rPr>
      </w:pPr>
      <w:r>
        <w:rPr>
          <w:rFonts w:hint="eastAsia" w:ascii="宋体" w:hAnsi="宋体"/>
        </w:rPr>
        <w:t xml:space="preserve">3.2.1 </w:t>
      </w:r>
      <w:r>
        <w:rPr>
          <w:rFonts w:ascii="宋体" w:hAnsi="宋体"/>
        </w:rPr>
        <w:t>GB50500-20</w:t>
      </w:r>
      <w:r>
        <w:rPr>
          <w:rFonts w:hint="eastAsia" w:ascii="宋体" w:hAnsi="宋体"/>
        </w:rPr>
        <w:t>13</w:t>
      </w:r>
      <w:r>
        <w:rPr>
          <w:rFonts w:ascii="宋体" w:hAnsi="宋体"/>
        </w:rPr>
        <w:t>《建设工程工程量清单计价规范》。</w:t>
      </w:r>
    </w:p>
    <w:p>
      <w:pPr>
        <w:spacing w:line="360" w:lineRule="auto"/>
        <w:ind w:firstLine="420"/>
        <w:rPr>
          <w:rFonts w:ascii="宋体" w:hAnsi="宋体"/>
        </w:rPr>
      </w:pPr>
      <w:r>
        <w:rPr>
          <w:rFonts w:hint="eastAsia" w:ascii="宋体" w:hAnsi="宋体"/>
        </w:rPr>
        <w:t xml:space="preserve">3.2.2 </w:t>
      </w:r>
      <w:r>
        <w:rPr>
          <w:rFonts w:ascii="宋体" w:hAnsi="宋体"/>
        </w:rPr>
        <w:t>招标人提供的</w:t>
      </w:r>
      <w:r>
        <w:rPr>
          <w:rFonts w:hint="eastAsia" w:ascii="宋体" w:hAnsi="宋体"/>
        </w:rPr>
        <w:t>磋商文件</w:t>
      </w:r>
      <w:r>
        <w:rPr>
          <w:rFonts w:ascii="宋体" w:hAnsi="宋体"/>
        </w:rPr>
        <w:t>、</w:t>
      </w:r>
      <w:r>
        <w:rPr>
          <w:rFonts w:hint="eastAsia" w:ascii="宋体" w:hAnsi="宋体"/>
        </w:rPr>
        <w:t>补充磋商文件、</w:t>
      </w:r>
      <w:r>
        <w:rPr>
          <w:rFonts w:ascii="宋体" w:hAnsi="宋体"/>
        </w:rPr>
        <w:t>工程量清单。</w:t>
      </w:r>
    </w:p>
    <w:p>
      <w:pPr>
        <w:spacing w:line="360" w:lineRule="auto"/>
        <w:ind w:firstLine="420" w:firstLineChars="200"/>
        <w:rPr>
          <w:rFonts w:ascii="宋体" w:hAnsi="宋体"/>
        </w:rPr>
      </w:pPr>
      <w:r>
        <w:rPr>
          <w:rFonts w:hint="eastAsia" w:ascii="宋体" w:hAnsi="宋体"/>
        </w:rPr>
        <w:t xml:space="preserve">3.2.3 </w:t>
      </w:r>
      <w:r>
        <w:rPr>
          <w:rFonts w:ascii="宋体" w:hAnsi="宋体"/>
        </w:rPr>
        <w:t>主要建筑材料</w:t>
      </w:r>
      <w:r>
        <w:rPr>
          <w:rFonts w:hint="eastAsia" w:ascii="宋体" w:hAnsi="宋体"/>
        </w:rPr>
        <w:t>价格</w:t>
      </w:r>
      <w:r>
        <w:rPr>
          <w:rFonts w:ascii="宋体" w:hAnsi="宋体"/>
        </w:rPr>
        <w:t>（指到工地现场的价格）</w:t>
      </w:r>
      <w:r>
        <w:rPr>
          <w:rFonts w:hint="eastAsia" w:ascii="宋体" w:hAnsi="宋体"/>
        </w:rPr>
        <w:t>、</w:t>
      </w:r>
      <w:r>
        <w:rPr>
          <w:rFonts w:ascii="宋体" w:hAnsi="宋体"/>
        </w:rPr>
        <w:t>人工费参照上海市建筑建材业网站（</w:t>
      </w:r>
      <w:r>
        <w:fldChar w:fldCharType="begin"/>
      </w:r>
      <w:r>
        <w:instrText xml:space="preserve"> HYPERLINK "http://www.ciac.sh.cn" </w:instrText>
      </w:r>
      <w:r>
        <w:fldChar w:fldCharType="separate"/>
      </w:r>
      <w:r>
        <w:rPr>
          <w:rFonts w:ascii="宋体" w:hAnsi="宋体"/>
        </w:rPr>
        <w:t>http://www.ciac.sh.cn</w:t>
      </w:r>
      <w:r>
        <w:rPr>
          <w:rFonts w:ascii="宋体" w:hAnsi="宋体"/>
        </w:rPr>
        <w:fldChar w:fldCharType="end"/>
      </w:r>
      <w:r>
        <w:rPr>
          <w:rFonts w:ascii="宋体" w:hAnsi="宋体"/>
        </w:rPr>
        <w:t>）和上海建设工程标准与造价信息网站（http://www.shceci.com.cn）上公布</w:t>
      </w:r>
      <w:r>
        <w:rPr>
          <w:rFonts w:hint="eastAsia" w:ascii="宋体" w:hAnsi="宋体"/>
        </w:rPr>
        <w:t xml:space="preserve">的信息价（公告发布的当月信息价）。 </w:t>
      </w:r>
    </w:p>
    <w:p>
      <w:pPr>
        <w:spacing w:line="360" w:lineRule="auto"/>
        <w:ind w:firstLine="420" w:firstLineChars="200"/>
        <w:rPr>
          <w:rFonts w:ascii="宋体" w:hAnsi="宋体"/>
          <w:color w:val="0070C0"/>
        </w:rPr>
      </w:pPr>
      <w:r>
        <w:rPr>
          <w:rFonts w:hint="eastAsia" w:ascii="宋体" w:hAnsi="宋体"/>
        </w:rPr>
        <w:t>3.2.</w:t>
      </w:r>
      <w:r>
        <w:rPr>
          <w:rFonts w:hint="eastAsia" w:ascii="宋体" w:hAnsi="宋体"/>
          <w:color w:val="000000" w:themeColor="text1"/>
        </w:rPr>
        <w:t>4 国家或企业定额等。</w:t>
      </w:r>
    </w:p>
    <w:p>
      <w:pPr>
        <w:spacing w:line="360" w:lineRule="auto"/>
        <w:ind w:firstLine="420" w:firstLineChars="200"/>
        <w:rPr>
          <w:rFonts w:ascii="宋体" w:hAnsi="宋体"/>
        </w:rPr>
      </w:pPr>
      <w:r>
        <w:rPr>
          <w:rFonts w:hint="eastAsia" w:ascii="宋体" w:hAnsi="宋体"/>
        </w:rPr>
        <w:t>3.2.5</w:t>
      </w:r>
      <w:r>
        <w:rPr>
          <w:rFonts w:ascii="宋体" w:hAnsi="宋体"/>
        </w:rPr>
        <w:t>各级建设主管部门颁发的现行有关建设工程施工、技术、质量规程、规范、标准，以及安全、文明施工等规定及相应的措施费。</w:t>
      </w:r>
    </w:p>
    <w:p>
      <w:pPr>
        <w:pStyle w:val="16"/>
        <w:spacing w:line="360" w:lineRule="auto"/>
        <w:outlineLvl w:val="9"/>
      </w:pPr>
      <w:r>
        <w:rPr>
          <w:rFonts w:hint="eastAsia"/>
        </w:rPr>
        <w:t>3.3 磋商</w:t>
      </w:r>
      <w:r>
        <w:t>报价说明</w:t>
      </w:r>
      <w:r>
        <w:rPr>
          <w:rFonts w:hint="eastAsia"/>
        </w:rPr>
        <w:t>及结算原则</w:t>
      </w:r>
    </w:p>
    <w:p>
      <w:pPr>
        <w:tabs>
          <w:tab w:val="left" w:pos="1380"/>
        </w:tabs>
        <w:spacing w:line="360" w:lineRule="auto"/>
        <w:ind w:firstLine="420" w:firstLineChars="200"/>
        <w:rPr>
          <w:rFonts w:ascii="宋体" w:hAnsi="宋体"/>
        </w:rPr>
      </w:pPr>
      <w:r>
        <w:rPr>
          <w:rFonts w:hint="eastAsia" w:ascii="宋体" w:hAnsi="宋体"/>
        </w:rPr>
        <w:t>3.3.1磋商</w:t>
      </w:r>
      <w:r>
        <w:rPr>
          <w:rFonts w:ascii="宋体" w:hAnsi="宋体"/>
        </w:rPr>
        <w:t>总价为分部分项工程量清单、措施项目清单、其他项目清单、规费和税金的报价之和。</w:t>
      </w:r>
    </w:p>
    <w:p>
      <w:pPr>
        <w:tabs>
          <w:tab w:val="left" w:pos="1380"/>
        </w:tabs>
        <w:spacing w:line="360" w:lineRule="auto"/>
        <w:ind w:firstLine="420" w:firstLineChars="200"/>
        <w:rPr>
          <w:rFonts w:ascii="宋体" w:hAnsi="宋体"/>
        </w:rPr>
      </w:pPr>
      <w:r>
        <w:rPr>
          <w:rFonts w:hint="eastAsia" w:ascii="宋体" w:hAnsi="宋体"/>
        </w:rPr>
        <w:t>3.3.2</w:t>
      </w:r>
      <w:r>
        <w:rPr>
          <w:rFonts w:ascii="宋体" w:hAnsi="宋体"/>
        </w:rPr>
        <w:t>本工程计价模式采用《建设工程工程量清单计价规范》（GB-50500-20</w:t>
      </w:r>
      <w:r>
        <w:rPr>
          <w:rFonts w:hint="eastAsia" w:ascii="宋体" w:hAnsi="宋体"/>
        </w:rPr>
        <w:t>13</w:t>
      </w:r>
      <w:r>
        <w:rPr>
          <w:rFonts w:ascii="宋体" w:hAnsi="宋体"/>
        </w:rPr>
        <w:t>）（以下简称“计价规范”），按</w:t>
      </w:r>
      <w:r>
        <w:rPr>
          <w:rFonts w:hint="eastAsia" w:ascii="宋体" w:hAnsi="宋体"/>
        </w:rPr>
        <w:t>磋商文件</w:t>
      </w:r>
      <w:r>
        <w:rPr>
          <w:rFonts w:ascii="宋体" w:hAnsi="宋体"/>
        </w:rPr>
        <w:t>提供的工程量清单，采用综合单价法进行报价。综合单价是完成工程量清单中一个规定计量单位项目所需的费用，应</w:t>
      </w:r>
      <w:r>
        <w:rPr>
          <w:rFonts w:hint="eastAsia" w:ascii="宋体" w:hAnsi="宋体"/>
        </w:rPr>
        <w:t>包括</w:t>
      </w:r>
      <w:r>
        <w:rPr>
          <w:rFonts w:ascii="宋体" w:hAnsi="宋体"/>
        </w:rPr>
        <w:t>人工费、材料费、施工机械使用费、企业管理费及</w:t>
      </w:r>
      <w:r>
        <w:rPr>
          <w:rFonts w:hint="eastAsia" w:ascii="宋体" w:hAnsi="宋体"/>
        </w:rPr>
        <w:t>投标</w:t>
      </w:r>
      <w:r>
        <w:rPr>
          <w:rFonts w:ascii="宋体" w:hAnsi="宋体"/>
        </w:rPr>
        <w:t>人的期望利润等为完成该项目所需的一切费用（规费和税金除外），并考虑</w:t>
      </w:r>
      <w:r>
        <w:rPr>
          <w:rFonts w:hint="eastAsia" w:ascii="宋体" w:hAnsi="宋体"/>
        </w:rPr>
        <w:t>磋商文件</w:t>
      </w:r>
      <w:r>
        <w:rPr>
          <w:rFonts w:ascii="宋体" w:hAnsi="宋体"/>
        </w:rPr>
        <w:t>中规定的或</w:t>
      </w:r>
      <w:r>
        <w:rPr>
          <w:rFonts w:hint="eastAsia" w:ascii="宋体" w:hAnsi="宋体"/>
        </w:rPr>
        <w:t>供应商</w:t>
      </w:r>
      <w:r>
        <w:rPr>
          <w:rFonts w:ascii="宋体" w:hAnsi="宋体"/>
        </w:rPr>
        <w:t>为完成该规定计量单位项目可能承担的责任、义务及约定的风险因素。</w:t>
      </w:r>
      <w:r>
        <w:rPr>
          <w:rFonts w:hint="eastAsia" w:ascii="宋体" w:hAnsi="宋体"/>
        </w:rPr>
        <w:t>供应商的</w:t>
      </w:r>
      <w:r>
        <w:rPr>
          <w:rFonts w:ascii="宋体" w:hAnsi="宋体"/>
        </w:rPr>
        <w:t>优惠让利</w:t>
      </w:r>
      <w:r>
        <w:rPr>
          <w:rFonts w:hint="eastAsia" w:ascii="宋体" w:hAnsi="宋体"/>
        </w:rPr>
        <w:t>应</w:t>
      </w:r>
      <w:r>
        <w:rPr>
          <w:rFonts w:ascii="宋体" w:hAnsi="宋体"/>
        </w:rPr>
        <w:t>充分考虑企业自身技术、装备、管理水平</w:t>
      </w:r>
      <w:r>
        <w:rPr>
          <w:rFonts w:hint="eastAsia" w:ascii="宋体" w:hAnsi="宋体"/>
        </w:rPr>
        <w:t>、</w:t>
      </w:r>
      <w:r>
        <w:rPr>
          <w:rFonts w:ascii="宋体" w:hAnsi="宋体"/>
        </w:rPr>
        <w:t>承受能力</w:t>
      </w:r>
      <w:r>
        <w:rPr>
          <w:rFonts w:hint="eastAsia" w:ascii="宋体" w:hAnsi="宋体"/>
        </w:rPr>
        <w:t>及</w:t>
      </w:r>
      <w:r>
        <w:rPr>
          <w:rFonts w:ascii="宋体" w:hAnsi="宋体"/>
        </w:rPr>
        <w:t>市场</w:t>
      </w:r>
      <w:r>
        <w:rPr>
          <w:rFonts w:hint="eastAsia" w:ascii="宋体" w:hAnsi="宋体"/>
        </w:rPr>
        <w:t>变化等情况在综合单价中体现，不允许总价优惠</w:t>
      </w:r>
      <w:r>
        <w:rPr>
          <w:rFonts w:ascii="宋体" w:hAnsi="宋体"/>
        </w:rPr>
        <w:t>。</w:t>
      </w:r>
    </w:p>
    <w:p>
      <w:pPr>
        <w:tabs>
          <w:tab w:val="left" w:pos="1380"/>
        </w:tabs>
        <w:spacing w:line="360" w:lineRule="auto"/>
        <w:ind w:firstLine="420" w:firstLineChars="200"/>
        <w:rPr>
          <w:rFonts w:ascii="宋体" w:hAnsi="宋体"/>
        </w:rPr>
      </w:pPr>
      <w:r>
        <w:rPr>
          <w:rFonts w:hint="eastAsia" w:ascii="宋体" w:hAnsi="宋体"/>
        </w:rPr>
        <w:t>3.3.3供应商</w:t>
      </w:r>
      <w:r>
        <w:rPr>
          <w:rFonts w:ascii="宋体" w:hAnsi="宋体"/>
        </w:rPr>
        <w:t>应按招标人提供的工程量清单计算工程项目的综合单价</w:t>
      </w:r>
      <w:r>
        <w:rPr>
          <w:rFonts w:hint="eastAsia" w:ascii="宋体" w:hAnsi="宋体"/>
        </w:rPr>
        <w:t>与</w:t>
      </w:r>
      <w:r>
        <w:rPr>
          <w:rFonts w:ascii="宋体" w:hAnsi="宋体"/>
        </w:rPr>
        <w:t>合价</w:t>
      </w:r>
      <w:r>
        <w:rPr>
          <w:rFonts w:hint="eastAsia" w:ascii="宋体" w:hAnsi="宋体"/>
        </w:rPr>
        <w:t>，除本磋商文件、补充磋商文件和合同另有约定外，</w:t>
      </w:r>
      <w:r>
        <w:rPr>
          <w:rFonts w:ascii="宋体" w:hAnsi="宋体"/>
        </w:rPr>
        <w:t>工程量清单中提供之数量不得修改。</w:t>
      </w:r>
      <w:r>
        <w:rPr>
          <w:rFonts w:hint="eastAsia" w:ascii="宋体" w:hAnsi="宋体"/>
        </w:rPr>
        <w:t>供应商未按招标人提供的工程量清单</w:t>
      </w:r>
      <w:r>
        <w:rPr>
          <w:rFonts w:ascii="宋体" w:hAnsi="宋体"/>
        </w:rPr>
        <w:t>填写综合单价和合价的项目将不予支付，并认为此项费用已包括在工程量清单的其他单价和合价中。</w:t>
      </w:r>
    </w:p>
    <w:p>
      <w:pPr>
        <w:tabs>
          <w:tab w:val="left" w:pos="1380"/>
        </w:tabs>
        <w:spacing w:line="360" w:lineRule="auto"/>
        <w:ind w:firstLine="420" w:firstLineChars="200"/>
        <w:rPr>
          <w:rFonts w:ascii="宋体" w:hAnsi="宋体"/>
        </w:rPr>
      </w:pPr>
      <w:r>
        <w:rPr>
          <w:rFonts w:hint="eastAsia" w:ascii="宋体" w:hAnsi="宋体"/>
        </w:rPr>
        <w:t>3.3.4措施项目清单主要是指发生于施工准备和施工过程中的技术、生活、安全、文明、环境保护等方面的非工程实体的项目。供应商应在对磋商文件、补充磋商文件分析研究的基础上，根据施工图纸、施工现场条件、施工组织设计和有关施工现场管理的法律法规、标准规范来确定报价。供应商可根据企业自身实力、经营管理水平、技术水平、本工程特点、现场情况、磋商文件提出的各项要求并结合招标人发出的措施项目清单（可增加措施项目），自行投报所需计取的费用。一经成交，该费用视作已包含成交人完成本工程所需的全部措施费用不作调整。</w:t>
      </w:r>
    </w:p>
    <w:p>
      <w:pPr>
        <w:tabs>
          <w:tab w:val="left" w:pos="1380"/>
        </w:tabs>
        <w:spacing w:line="360" w:lineRule="auto"/>
        <w:ind w:firstLine="420" w:firstLineChars="200"/>
        <w:rPr>
          <w:rFonts w:ascii="宋体" w:hAnsi="宋体"/>
        </w:rPr>
      </w:pPr>
      <w:r>
        <w:rPr>
          <w:rFonts w:hint="eastAsia" w:ascii="宋体" w:hAnsi="宋体"/>
        </w:rPr>
        <w:t>3.3.5本项目采用固定单价合同（明确为固定价格包干的除外），</w:t>
      </w:r>
      <w:r>
        <w:rPr>
          <w:rFonts w:ascii="宋体" w:hAnsi="宋体"/>
        </w:rPr>
        <w:t>除本</w:t>
      </w:r>
      <w:r>
        <w:rPr>
          <w:rFonts w:hint="eastAsia" w:ascii="宋体" w:hAnsi="宋体"/>
        </w:rPr>
        <w:t>磋商文件、补充磋商文件</w:t>
      </w:r>
      <w:r>
        <w:rPr>
          <w:rFonts w:ascii="宋体" w:hAnsi="宋体"/>
        </w:rPr>
        <w:t>和合同另有约定外，</w:t>
      </w:r>
      <w:r>
        <w:rPr>
          <w:rFonts w:hint="eastAsia" w:ascii="宋体" w:hAnsi="宋体"/>
        </w:rPr>
        <w:t>供应商</w:t>
      </w:r>
      <w:r>
        <w:rPr>
          <w:rFonts w:ascii="宋体" w:hAnsi="宋体"/>
        </w:rPr>
        <w:t>投报的综合单价闭口包干</w:t>
      </w:r>
      <w:r>
        <w:rPr>
          <w:rFonts w:hint="eastAsia" w:ascii="宋体" w:hAnsi="宋体"/>
        </w:rPr>
        <w:t>。工程竣工结算时工程量根据</w:t>
      </w:r>
      <w:r>
        <w:rPr>
          <w:rFonts w:ascii="宋体" w:hAnsi="宋体"/>
        </w:rPr>
        <w:t>《建设工程工程量清单计价规范》（</w:t>
      </w:r>
      <w:r>
        <w:rPr>
          <w:rFonts w:hint="eastAsia" w:ascii="宋体" w:hAnsi="宋体"/>
        </w:rPr>
        <w:t>GB-50500-2013</w:t>
      </w:r>
      <w:r>
        <w:rPr>
          <w:rFonts w:ascii="宋体" w:hAnsi="宋体"/>
        </w:rPr>
        <w:t>）</w:t>
      </w:r>
      <w:r>
        <w:rPr>
          <w:rFonts w:hint="eastAsia" w:ascii="宋体" w:hAnsi="宋体"/>
        </w:rPr>
        <w:t>按实际竣工图纸计算，与工程师签字确认的工作量一并结算。</w:t>
      </w:r>
    </w:p>
    <w:p>
      <w:pPr>
        <w:spacing w:line="360" w:lineRule="auto"/>
        <w:ind w:firstLine="420" w:firstLineChars="200"/>
        <w:rPr>
          <w:rFonts w:ascii="宋体" w:hAnsi="宋体"/>
        </w:rPr>
      </w:pPr>
      <w:r>
        <w:rPr>
          <w:rFonts w:hint="eastAsia" w:ascii="宋体" w:hAnsi="宋体"/>
        </w:rPr>
        <w:t>3.3.6</w:t>
      </w:r>
      <w:r>
        <w:rPr>
          <w:rFonts w:ascii="宋体" w:hAnsi="宋体"/>
        </w:rPr>
        <w:t>合同签订后，如分部分项工程量清单中项目特征和工程内容发生变化或工程发生设计变更</w:t>
      </w:r>
      <w:r>
        <w:rPr>
          <w:rFonts w:hint="eastAsia" w:ascii="宋体" w:hAnsi="宋体"/>
        </w:rPr>
        <w:t>时</w:t>
      </w:r>
      <w:r>
        <w:rPr>
          <w:rFonts w:ascii="宋体" w:hAnsi="宋体"/>
        </w:rPr>
        <w:t>，</w:t>
      </w:r>
      <w:r>
        <w:rPr>
          <w:rFonts w:hint="eastAsia" w:ascii="宋体" w:hAnsi="宋体"/>
        </w:rPr>
        <w:t>工程量计算规则按GB50500-2013《建设工程量清单计价规范》计算，人工、材料、机械的消耗量按《上海市房屋建筑工程预算定（2016）》、《上海市建筑装饰工程预算定（2016）》、《上海市安装工程预算定（2016）》及其他相关定额计取，单价合同中相同或类似的参照合同单价，无类似单价则由供应商参照施工期间的市场信息价格报价，并报工程师审核、经发包人同意后予以调整，管理费、利润等按磋商报价时的费率标准计取。</w:t>
      </w:r>
    </w:p>
    <w:p>
      <w:pPr>
        <w:pStyle w:val="16"/>
        <w:spacing w:line="360" w:lineRule="auto"/>
        <w:outlineLvl w:val="9"/>
      </w:pPr>
      <w:bookmarkStart w:id="68" w:name="_Toc179632567"/>
      <w:bookmarkStart w:id="69" w:name="_Toc152045549"/>
      <w:bookmarkStart w:id="70" w:name="_Toc144974517"/>
      <w:bookmarkStart w:id="71" w:name="_Toc152042325"/>
      <w:r>
        <w:rPr>
          <w:rFonts w:hint="eastAsia"/>
        </w:rPr>
        <w:t>3.4 投标有效期</w:t>
      </w:r>
      <w:bookmarkEnd w:id="68"/>
      <w:bookmarkEnd w:id="69"/>
      <w:bookmarkEnd w:id="70"/>
      <w:bookmarkEnd w:id="71"/>
    </w:p>
    <w:p>
      <w:pPr>
        <w:spacing w:line="360" w:lineRule="auto"/>
        <w:ind w:firstLine="420" w:firstLineChars="200"/>
        <w:rPr>
          <w:rFonts w:ascii="宋体" w:hAnsi="宋体"/>
        </w:rPr>
      </w:pPr>
      <w:r>
        <w:rPr>
          <w:rFonts w:hint="eastAsia" w:ascii="宋体" w:hAnsi="宋体"/>
        </w:rPr>
        <w:t>3.4.1在供应商须知前附表规定的投标有效期内，</w:t>
      </w:r>
      <w:r>
        <w:rPr>
          <w:rFonts w:hint="eastAsia" w:ascii="宋体" w:hAnsi="宋体"/>
          <w:szCs w:val="21"/>
        </w:rPr>
        <w:t>供应商不得补充、修改、替代或者撤回其响应文件。</w:t>
      </w:r>
    </w:p>
    <w:p>
      <w:pPr>
        <w:spacing w:line="360" w:lineRule="auto"/>
        <w:ind w:firstLine="420" w:firstLineChars="200"/>
        <w:rPr>
          <w:rFonts w:ascii="宋体" w:hAnsi="宋体"/>
          <w:szCs w:val="21"/>
        </w:rPr>
      </w:pPr>
      <w:r>
        <w:rPr>
          <w:rFonts w:hint="eastAsia" w:ascii="宋体" w:hAnsi="宋体"/>
        </w:rPr>
        <w:t>3.4.2</w:t>
      </w:r>
      <w:r>
        <w:rPr>
          <w:rFonts w:hint="eastAsia" w:ascii="宋体" w:hAnsi="宋体"/>
          <w:szCs w:val="21"/>
        </w:rPr>
        <w:t>在原投标有效期结束前，如出现特殊情况，招标人可以书面形式要求所有供应商延长投标有效期。供应商同意延长的，不得要求或被允许修改其响应文件的实质性内容，但应当相应延长其磋商保证金的有效期；供应商拒绝延长的，</w:t>
      </w:r>
      <w:r>
        <w:rPr>
          <w:rFonts w:hint="eastAsia" w:ascii="宋体" w:hAnsi="宋体"/>
        </w:rPr>
        <w:t>其投标自原投标有效期届满时失效，</w:t>
      </w:r>
      <w:r>
        <w:rPr>
          <w:rFonts w:hint="eastAsia" w:ascii="宋体" w:hAnsi="宋体"/>
          <w:szCs w:val="21"/>
        </w:rPr>
        <w:t>但供应商有权收回其磋商保证金。</w:t>
      </w:r>
    </w:p>
    <w:p>
      <w:pPr>
        <w:pStyle w:val="16"/>
        <w:spacing w:line="360" w:lineRule="auto"/>
        <w:outlineLvl w:val="9"/>
      </w:pPr>
      <w:bookmarkStart w:id="72" w:name="_Toc144974518"/>
      <w:bookmarkStart w:id="73" w:name="_Toc152042326"/>
      <w:bookmarkStart w:id="74" w:name="_Toc179632568"/>
      <w:bookmarkStart w:id="75" w:name="_Toc152045550"/>
      <w:r>
        <w:rPr>
          <w:rFonts w:hint="eastAsia"/>
        </w:rPr>
        <w:t xml:space="preserve">3.5 </w:t>
      </w:r>
      <w:bookmarkEnd w:id="72"/>
      <w:bookmarkEnd w:id="73"/>
      <w:bookmarkEnd w:id="74"/>
      <w:bookmarkEnd w:id="75"/>
      <w:r>
        <w:rPr>
          <w:rFonts w:hint="eastAsia"/>
        </w:rPr>
        <w:t>磋商保证金（不收取）</w:t>
      </w:r>
    </w:p>
    <w:p>
      <w:pPr>
        <w:pStyle w:val="16"/>
        <w:spacing w:line="360" w:lineRule="auto"/>
        <w:outlineLvl w:val="9"/>
      </w:pPr>
      <w:bookmarkStart w:id="76" w:name="_Toc179632570"/>
      <w:bookmarkStart w:id="77" w:name="_Toc144974520"/>
      <w:bookmarkStart w:id="78" w:name="_Toc152042328"/>
      <w:bookmarkStart w:id="79" w:name="_Toc152045552"/>
      <w:r>
        <w:rPr>
          <w:rFonts w:hint="eastAsia"/>
        </w:rPr>
        <w:t>3.6 供应商基本资料</w:t>
      </w:r>
      <w:bookmarkEnd w:id="76"/>
      <w:bookmarkEnd w:id="77"/>
      <w:bookmarkEnd w:id="78"/>
      <w:bookmarkEnd w:id="79"/>
      <w:r>
        <w:rPr>
          <w:rFonts w:hint="eastAsia"/>
        </w:rPr>
        <w:t xml:space="preserve">  </w:t>
      </w:r>
    </w:p>
    <w:p>
      <w:pPr>
        <w:spacing w:line="360" w:lineRule="auto"/>
        <w:ind w:firstLine="420" w:firstLineChars="200"/>
      </w:pPr>
      <w:r>
        <w:rPr>
          <w:rFonts w:hint="eastAsia" w:ascii="宋体" w:hAnsi="宋体"/>
        </w:rPr>
        <w:t>3.6.1</w:t>
      </w:r>
      <w:r>
        <w:rPr>
          <w:rFonts w:hint="eastAsia"/>
        </w:rPr>
        <w:t>“供应商基本情况表”应附营业执照副本及其年检合格的证明材料、资质证书副本和安全生产许可证等材料的复印件。</w:t>
      </w:r>
    </w:p>
    <w:p>
      <w:pPr>
        <w:spacing w:line="360" w:lineRule="auto"/>
        <w:ind w:firstLine="420" w:firstLineChars="200"/>
        <w:rPr>
          <w:rFonts w:ascii="宋体" w:hAnsi="宋体"/>
        </w:rPr>
      </w:pPr>
      <w:r>
        <w:rPr>
          <w:rFonts w:hint="eastAsia" w:ascii="宋体" w:hAnsi="宋体"/>
        </w:rPr>
        <w:t>3.6.2“设备和设施情况”指完成本工程所需的特种加工设备和生产设施，包括自有和租赁。</w:t>
      </w:r>
    </w:p>
    <w:p>
      <w:pPr>
        <w:spacing w:line="360" w:lineRule="auto"/>
        <w:ind w:firstLine="420" w:firstLineChars="200"/>
        <w:rPr>
          <w:rFonts w:ascii="宋体" w:hAnsi="宋体"/>
        </w:rPr>
      </w:pPr>
      <w:r>
        <w:rPr>
          <w:rFonts w:hint="eastAsia" w:ascii="宋体" w:hAnsi="宋体"/>
        </w:rPr>
        <w:t>3.6.3“人员情况”包括项目经理、技术负责人、安全员、质量员及其他关键人员。</w:t>
      </w:r>
    </w:p>
    <w:p>
      <w:pPr>
        <w:pStyle w:val="16"/>
        <w:spacing w:line="360" w:lineRule="auto"/>
        <w:outlineLvl w:val="9"/>
      </w:pPr>
      <w:bookmarkStart w:id="80" w:name="_Toc144974522"/>
      <w:bookmarkStart w:id="81" w:name="_Toc152042330"/>
      <w:bookmarkStart w:id="82" w:name="_Toc152045554"/>
      <w:bookmarkStart w:id="83" w:name="_Toc179632572"/>
      <w:r>
        <w:rPr>
          <w:rFonts w:hint="eastAsia"/>
        </w:rPr>
        <w:t>3.7 响应文件的编制</w:t>
      </w:r>
      <w:bookmarkEnd w:id="80"/>
      <w:bookmarkEnd w:id="81"/>
      <w:bookmarkEnd w:id="82"/>
      <w:bookmarkEnd w:id="83"/>
    </w:p>
    <w:p>
      <w:pPr>
        <w:spacing w:line="360" w:lineRule="auto"/>
        <w:ind w:firstLine="420" w:firstLineChars="200"/>
        <w:rPr>
          <w:rFonts w:ascii="宋体" w:hAnsi="宋体"/>
        </w:rPr>
      </w:pPr>
      <w:r>
        <w:rPr>
          <w:rFonts w:hint="eastAsia" w:ascii="宋体" w:hAnsi="宋体"/>
        </w:rPr>
        <w:t>3.7.1响应文件应按“响应文件格式”进行编写，如有必要，可以增加附页，作为响应文件的组成部分。其中，投标函附录在满足磋商文件实质性要求的基础上，可以提出比磋商文件要求更有利于招标人的承诺。</w:t>
      </w:r>
    </w:p>
    <w:p>
      <w:pPr>
        <w:spacing w:line="360" w:lineRule="auto"/>
        <w:ind w:firstLine="420" w:firstLineChars="200"/>
        <w:rPr>
          <w:rFonts w:ascii="宋体" w:hAnsi="宋体"/>
        </w:rPr>
      </w:pPr>
      <w:r>
        <w:rPr>
          <w:rFonts w:hint="eastAsia" w:ascii="宋体" w:hAnsi="宋体"/>
        </w:rPr>
        <w:t>3.7.2响应文件应当对磋商文件有关工期、投标有效期、质量要求、技术标准和要求、招标范围等实质性内容作出响应。</w:t>
      </w:r>
    </w:p>
    <w:p>
      <w:pPr>
        <w:spacing w:line="360" w:lineRule="auto"/>
        <w:ind w:firstLine="420" w:firstLineChars="200"/>
        <w:rPr>
          <w:rFonts w:ascii="宋体" w:hAnsi="宋体"/>
        </w:rPr>
      </w:pPr>
      <w:r>
        <w:rPr>
          <w:rFonts w:hint="eastAsia" w:ascii="宋体" w:hAnsi="宋体"/>
        </w:rPr>
        <w:t>3.7.3供应商</w:t>
      </w:r>
      <w:r>
        <w:rPr>
          <w:rFonts w:ascii="宋体" w:hAnsi="宋体"/>
        </w:rPr>
        <w:t>在技术标的编</w:t>
      </w:r>
      <w:r>
        <w:rPr>
          <w:rFonts w:hint="eastAsia" w:ascii="宋体" w:hAnsi="宋体"/>
        </w:rPr>
        <w:t>制</w:t>
      </w:r>
      <w:r>
        <w:rPr>
          <w:rFonts w:ascii="宋体" w:hAnsi="宋体"/>
        </w:rPr>
        <w:t>中应</w:t>
      </w:r>
      <w:r>
        <w:rPr>
          <w:rFonts w:hint="eastAsia" w:ascii="宋体" w:hAnsi="宋体"/>
        </w:rPr>
        <w:t>针对本项目的关键技术、工艺、重点和难点</w:t>
      </w:r>
      <w:r>
        <w:rPr>
          <w:rFonts w:ascii="宋体" w:hAnsi="宋体"/>
        </w:rPr>
        <w:t>，如果未采用新工艺、新技术</w:t>
      </w:r>
      <w:r>
        <w:rPr>
          <w:rFonts w:hint="eastAsia" w:ascii="宋体" w:hAnsi="宋体"/>
        </w:rPr>
        <w:t>、新工法的，应避免把标准、规范、规程和工法的具体内容载入技术标，</w:t>
      </w:r>
      <w:r>
        <w:rPr>
          <w:rFonts w:ascii="宋体" w:hAnsi="宋体"/>
        </w:rPr>
        <w:t>技术标中</w:t>
      </w:r>
      <w:r>
        <w:rPr>
          <w:rFonts w:hint="eastAsia" w:ascii="宋体" w:hAnsi="宋体"/>
        </w:rPr>
        <w:t>不得</w:t>
      </w:r>
      <w:r>
        <w:rPr>
          <w:rFonts w:ascii="宋体" w:hAnsi="宋体"/>
        </w:rPr>
        <w:t>提供与本</w:t>
      </w:r>
      <w:r>
        <w:rPr>
          <w:rFonts w:hint="eastAsia" w:ascii="宋体" w:hAnsi="宋体"/>
        </w:rPr>
        <w:t>工程</w:t>
      </w:r>
      <w:r>
        <w:rPr>
          <w:rFonts w:ascii="宋体" w:hAnsi="宋体"/>
        </w:rPr>
        <w:t>无关内容。未按上述要求编制</w:t>
      </w:r>
      <w:r>
        <w:rPr>
          <w:rFonts w:hint="eastAsia" w:ascii="宋体" w:hAnsi="宋体"/>
        </w:rPr>
        <w:t>响应文件</w:t>
      </w:r>
      <w:r>
        <w:rPr>
          <w:rFonts w:ascii="宋体" w:hAnsi="宋体"/>
        </w:rPr>
        <w:t>的，在技术标的评分中予以酌情扣分。</w:t>
      </w:r>
    </w:p>
    <w:p>
      <w:pPr>
        <w:spacing w:before="360" w:line="360" w:lineRule="auto"/>
        <w:rPr>
          <w:b/>
          <w:bCs/>
          <w:sz w:val="28"/>
          <w:szCs w:val="28"/>
        </w:rPr>
      </w:pPr>
      <w:bookmarkStart w:id="84" w:name="_Toc152042331"/>
      <w:bookmarkStart w:id="85" w:name="_Toc152045555"/>
      <w:bookmarkStart w:id="86" w:name="_Toc354060220"/>
      <w:bookmarkStart w:id="87" w:name="_Toc144974523"/>
      <w:bookmarkStart w:id="88" w:name="_Toc179632573"/>
      <w:r>
        <w:rPr>
          <w:rFonts w:hint="eastAsia"/>
          <w:b/>
          <w:bCs/>
          <w:sz w:val="28"/>
          <w:szCs w:val="28"/>
        </w:rPr>
        <w:t xml:space="preserve">4. </w:t>
      </w:r>
      <w:bookmarkEnd w:id="84"/>
      <w:bookmarkEnd w:id="85"/>
      <w:bookmarkEnd w:id="86"/>
      <w:bookmarkEnd w:id="87"/>
      <w:bookmarkEnd w:id="88"/>
      <w:r>
        <w:rPr>
          <w:rFonts w:hint="eastAsia"/>
          <w:b/>
          <w:bCs/>
          <w:sz w:val="28"/>
          <w:szCs w:val="28"/>
        </w:rPr>
        <w:t>磋商</w:t>
      </w:r>
    </w:p>
    <w:p>
      <w:pPr>
        <w:spacing w:line="360" w:lineRule="auto"/>
        <w:ind w:firstLine="422" w:firstLineChars="200"/>
        <w:rPr>
          <w:rFonts w:ascii="宋体" w:hAnsi="宋体"/>
          <w:b/>
          <w:szCs w:val="21"/>
        </w:rPr>
      </w:pPr>
      <w:bookmarkStart w:id="89" w:name="_Toc152042334"/>
      <w:bookmarkStart w:id="90" w:name="_Toc152045558"/>
      <w:bookmarkStart w:id="91" w:name="_Toc179632576"/>
      <w:bookmarkStart w:id="92" w:name="_Toc144974526"/>
      <w:r>
        <w:rPr>
          <w:rFonts w:hint="eastAsia" w:ascii="宋体" w:hAnsi="宋体"/>
          <w:b/>
          <w:szCs w:val="21"/>
        </w:rPr>
        <w:t>4. 1 响应文件的递交</w:t>
      </w:r>
    </w:p>
    <w:p>
      <w:pPr>
        <w:spacing w:line="360" w:lineRule="auto"/>
        <w:ind w:firstLine="420" w:firstLineChars="200"/>
        <w:rPr>
          <w:rFonts w:ascii="宋体" w:hAnsi="宋体"/>
        </w:rPr>
      </w:pPr>
      <w:r>
        <w:rPr>
          <w:rFonts w:hint="eastAsia" w:ascii="宋体" w:hAnsi="宋体"/>
        </w:rPr>
        <w:t>4.1.1在投标截止时间前将投标文件携带至开标地点，逾期递交或响应文件不符合采购规定，视为自动放弃；</w:t>
      </w:r>
    </w:p>
    <w:p>
      <w:pPr>
        <w:spacing w:line="360" w:lineRule="auto"/>
        <w:ind w:firstLine="420" w:firstLineChars="200"/>
        <w:rPr>
          <w:rFonts w:ascii="宋体" w:hAnsi="宋体"/>
        </w:rPr>
      </w:pPr>
      <w:r>
        <w:rPr>
          <w:rFonts w:hint="eastAsia" w:ascii="宋体" w:hAnsi="宋体"/>
        </w:rPr>
        <w:t>4.1.2 递交地点：详见竞争性磋商公告</w:t>
      </w:r>
    </w:p>
    <w:p>
      <w:pPr>
        <w:pStyle w:val="9"/>
      </w:pPr>
    </w:p>
    <w:p>
      <w:pPr>
        <w:pStyle w:val="16"/>
        <w:spacing w:line="360" w:lineRule="auto"/>
        <w:outlineLvl w:val="9"/>
      </w:pPr>
      <w:r>
        <w:rPr>
          <w:rFonts w:hint="eastAsia"/>
        </w:rPr>
        <w:t>4.2 响应文件的修改与撤回</w:t>
      </w:r>
      <w:bookmarkEnd w:id="89"/>
      <w:bookmarkEnd w:id="90"/>
      <w:bookmarkEnd w:id="91"/>
      <w:bookmarkEnd w:id="92"/>
    </w:p>
    <w:p>
      <w:pPr>
        <w:spacing w:line="360" w:lineRule="auto"/>
        <w:ind w:firstLine="480"/>
        <w:rPr>
          <w:rFonts w:ascii="宋体" w:hAnsi="宋体"/>
          <w:szCs w:val="21"/>
        </w:rPr>
      </w:pPr>
      <w:bookmarkStart w:id="93" w:name="_Toc354060221"/>
      <w:bookmarkStart w:id="94" w:name="_Toc152045559"/>
      <w:bookmarkStart w:id="95" w:name="_Toc152042335"/>
      <w:bookmarkStart w:id="96" w:name="_Toc179632577"/>
      <w:bookmarkStart w:id="97" w:name="_Toc144974527"/>
      <w:r>
        <w:rPr>
          <w:rFonts w:hint="eastAsia" w:ascii="宋体" w:hAnsi="宋体"/>
          <w:szCs w:val="21"/>
        </w:rPr>
        <w:t>4.2.1投标截止时间前，投标人可以补充、修改、替代或者撤回其已提交的投标文件，但必须以书面方式通知招标方。补充、修改的内容为投标文件的组成部分。</w:t>
      </w:r>
    </w:p>
    <w:p>
      <w:pPr>
        <w:spacing w:line="360" w:lineRule="auto"/>
        <w:ind w:firstLine="480"/>
        <w:rPr>
          <w:rFonts w:ascii="宋体" w:hAnsi="宋体"/>
          <w:szCs w:val="21"/>
        </w:rPr>
      </w:pPr>
      <w:r>
        <w:rPr>
          <w:rFonts w:hint="eastAsia" w:ascii="宋体" w:hAnsi="宋体"/>
          <w:szCs w:val="21"/>
        </w:rPr>
        <w:t>4.2.2书面通知应由投标人授权代表签署并盖单位印章。</w:t>
      </w:r>
    </w:p>
    <w:p>
      <w:pPr>
        <w:spacing w:line="360" w:lineRule="auto"/>
        <w:ind w:firstLine="480"/>
        <w:rPr>
          <w:rFonts w:ascii="宋体" w:hAnsi="宋体"/>
          <w:szCs w:val="21"/>
        </w:rPr>
      </w:pPr>
      <w:r>
        <w:rPr>
          <w:rFonts w:hint="eastAsia" w:ascii="宋体" w:hAnsi="宋体"/>
          <w:szCs w:val="21"/>
        </w:rPr>
        <w:t>4.2.3投标截止时间之后至磋商文件规定的投标有效期终止之前，投标人不得放弃投标，不得补充、修改、替代或者撤回其投标文件。</w:t>
      </w:r>
    </w:p>
    <w:p>
      <w:pPr>
        <w:spacing w:line="360" w:lineRule="auto"/>
        <w:ind w:firstLine="480"/>
        <w:rPr>
          <w:rFonts w:ascii="宋体" w:hAnsi="宋体"/>
          <w:szCs w:val="21"/>
        </w:rPr>
      </w:pPr>
      <w:r>
        <w:rPr>
          <w:rFonts w:hint="eastAsia" w:ascii="宋体" w:hAnsi="宋体"/>
          <w:szCs w:val="21"/>
        </w:rPr>
        <w:t>4.2.4无论本次招标的过程及结果如何，除非投标截止时间之前已经撤回，投标人为响应本次招标而提交的任何资料招标方均不退还，投标人有特别声明并经招标方同意的除外。</w:t>
      </w:r>
    </w:p>
    <w:p>
      <w:pPr>
        <w:pStyle w:val="2"/>
        <w:rPr>
          <w:rFonts w:ascii="宋体" w:hAnsi="宋体"/>
          <w:szCs w:val="21"/>
          <w:highlight w:val="yellow"/>
        </w:rPr>
      </w:pPr>
    </w:p>
    <w:p>
      <w:pPr>
        <w:spacing w:before="360" w:line="360" w:lineRule="auto"/>
        <w:rPr>
          <w:b/>
          <w:bCs/>
          <w:sz w:val="28"/>
          <w:szCs w:val="28"/>
        </w:rPr>
      </w:pPr>
      <w:r>
        <w:rPr>
          <w:rFonts w:hint="eastAsia"/>
          <w:b/>
          <w:bCs/>
          <w:sz w:val="28"/>
          <w:szCs w:val="28"/>
        </w:rPr>
        <w:t>5. 开标</w:t>
      </w:r>
      <w:bookmarkEnd w:id="93"/>
      <w:bookmarkEnd w:id="94"/>
      <w:bookmarkEnd w:id="95"/>
      <w:bookmarkEnd w:id="96"/>
      <w:bookmarkEnd w:id="97"/>
    </w:p>
    <w:p>
      <w:pPr>
        <w:spacing w:line="360" w:lineRule="auto"/>
        <w:ind w:firstLine="480"/>
        <w:rPr>
          <w:rFonts w:ascii="宋体" w:hAnsi="宋体"/>
          <w:szCs w:val="21"/>
        </w:rPr>
      </w:pPr>
      <w:bookmarkStart w:id="98" w:name="_Toc152045561"/>
      <w:bookmarkStart w:id="99" w:name="_Toc152042337"/>
      <w:bookmarkStart w:id="100" w:name="_Toc144974529"/>
      <w:bookmarkStart w:id="101" w:name="_Toc179632579"/>
      <w:r>
        <w:rPr>
          <w:rFonts w:hint="eastAsia" w:ascii="宋体" w:hAnsi="宋体"/>
          <w:szCs w:val="21"/>
        </w:rPr>
        <w:t>5．1 招标人将按《供应商须知》前附表以及《竞争性磋商公告》中规定的时间和地点组织磋商。供应商的法定代表人或其授权代表应参加磋商；供应商的法定代表人或其授权代表未按时出席并签到的，视同放弃投标。</w:t>
      </w:r>
    </w:p>
    <w:p>
      <w:pPr>
        <w:spacing w:line="360" w:lineRule="auto"/>
        <w:ind w:firstLine="480"/>
        <w:rPr>
          <w:rFonts w:ascii="宋体" w:hAnsi="宋体"/>
          <w:szCs w:val="21"/>
        </w:rPr>
      </w:pPr>
      <w:r>
        <w:rPr>
          <w:rFonts w:hint="eastAsia" w:ascii="宋体" w:hAnsi="宋体"/>
          <w:szCs w:val="21"/>
        </w:rPr>
        <w:t>5．2  开标时，招标人将当众公布供应商名称、投标书情况汇总表中的磋商内容以及招标人认为有必要公布的其他内容。</w:t>
      </w:r>
    </w:p>
    <w:p>
      <w:pPr>
        <w:spacing w:line="360" w:lineRule="auto"/>
        <w:ind w:firstLine="480"/>
        <w:rPr>
          <w:rFonts w:ascii="宋体" w:hAnsi="宋体"/>
          <w:szCs w:val="21"/>
        </w:rPr>
      </w:pPr>
      <w:r>
        <w:rPr>
          <w:rFonts w:hint="eastAsia" w:ascii="宋体" w:hAnsi="宋体"/>
          <w:szCs w:val="21"/>
        </w:rPr>
        <w:t>5．3  投标书情况汇总表内容与响应文件中相关内容不一致的，以投标书情况汇总表为准。</w:t>
      </w:r>
    </w:p>
    <w:p>
      <w:pPr>
        <w:spacing w:line="360" w:lineRule="auto"/>
        <w:ind w:firstLine="480"/>
        <w:rPr>
          <w:rFonts w:ascii="宋体" w:hAnsi="宋体"/>
          <w:szCs w:val="21"/>
        </w:rPr>
      </w:pPr>
      <w:r>
        <w:rPr>
          <w:rFonts w:hint="eastAsia" w:ascii="宋体" w:hAnsi="宋体"/>
          <w:szCs w:val="21"/>
        </w:rPr>
        <w:t>5．4  招标人将对开标过程进行记录，开标记录包括按上述规定在开标时公布的全部内容。供应商的授权代表应对开标记录进行当场校核及勘误。供应商的授权代表不进行当场校核及勘误的，不影响开标结果及项目招磋商进程。</w:t>
      </w:r>
    </w:p>
    <w:bookmarkEnd w:id="98"/>
    <w:bookmarkEnd w:id="99"/>
    <w:bookmarkEnd w:id="100"/>
    <w:bookmarkEnd w:id="101"/>
    <w:p>
      <w:pPr>
        <w:spacing w:before="360" w:line="360" w:lineRule="auto"/>
        <w:rPr>
          <w:b/>
          <w:bCs/>
          <w:sz w:val="28"/>
          <w:szCs w:val="28"/>
        </w:rPr>
      </w:pPr>
      <w:bookmarkStart w:id="102" w:name="_Toc152045562"/>
      <w:bookmarkStart w:id="103" w:name="_Toc152042338"/>
      <w:bookmarkStart w:id="104" w:name="_Toc144974530"/>
      <w:bookmarkStart w:id="105" w:name="_Toc179632580"/>
      <w:bookmarkStart w:id="106" w:name="_Toc354060222"/>
      <w:r>
        <w:rPr>
          <w:rFonts w:hint="eastAsia"/>
          <w:b/>
          <w:bCs/>
          <w:sz w:val="28"/>
          <w:szCs w:val="28"/>
        </w:rPr>
        <w:t xml:space="preserve">6. </w:t>
      </w:r>
      <w:bookmarkEnd w:id="102"/>
      <w:bookmarkEnd w:id="103"/>
      <w:bookmarkEnd w:id="104"/>
      <w:bookmarkEnd w:id="105"/>
      <w:bookmarkEnd w:id="106"/>
      <w:r>
        <w:rPr>
          <w:rFonts w:hint="eastAsia"/>
          <w:b/>
          <w:bCs/>
          <w:sz w:val="28"/>
          <w:szCs w:val="28"/>
        </w:rPr>
        <w:t>评审（磋商）</w:t>
      </w:r>
    </w:p>
    <w:p>
      <w:pPr>
        <w:spacing w:line="360" w:lineRule="auto"/>
        <w:rPr>
          <w:rFonts w:ascii="宋体" w:hAnsi="宋体"/>
          <w:b/>
          <w:szCs w:val="21"/>
        </w:rPr>
      </w:pPr>
      <w:bookmarkStart w:id="107" w:name="_Toc152045566"/>
      <w:bookmarkStart w:id="108" w:name="_Toc152042342"/>
      <w:bookmarkStart w:id="109" w:name="_Toc144974534"/>
      <w:bookmarkStart w:id="110" w:name="_Toc354060223"/>
      <w:bookmarkStart w:id="111" w:name="_Toc179632584"/>
      <w:r>
        <w:rPr>
          <w:rFonts w:hint="eastAsia" w:ascii="宋体" w:hAnsi="宋体"/>
          <w:szCs w:val="21"/>
        </w:rPr>
        <w:t xml:space="preserve">  </w:t>
      </w:r>
      <w:bookmarkStart w:id="112" w:name="_Toc28768"/>
      <w:r>
        <w:rPr>
          <w:rFonts w:hint="eastAsia" w:ascii="宋体" w:hAnsi="宋体"/>
          <w:b/>
          <w:szCs w:val="21"/>
        </w:rPr>
        <w:t xml:space="preserve">6．1 </w:t>
      </w:r>
      <w:bookmarkEnd w:id="112"/>
      <w:r>
        <w:rPr>
          <w:rFonts w:hint="eastAsia" w:ascii="宋体" w:hAnsi="宋体"/>
          <w:b/>
          <w:szCs w:val="21"/>
        </w:rPr>
        <w:t>磋商小组</w:t>
      </w:r>
    </w:p>
    <w:p>
      <w:pPr>
        <w:spacing w:line="360" w:lineRule="auto"/>
        <w:ind w:firstLine="480"/>
        <w:rPr>
          <w:rFonts w:ascii="宋体" w:hAnsi="宋体"/>
          <w:szCs w:val="21"/>
        </w:rPr>
      </w:pPr>
      <w:r>
        <w:rPr>
          <w:rFonts w:hint="eastAsia" w:ascii="宋体" w:hAnsi="宋体"/>
          <w:szCs w:val="21"/>
        </w:rPr>
        <w:t>6.1．1 招标人将依法组建磋商小组，磋商小组由采购人的代表和上海市政府采购咨询专家组成，其中专家的人数不少于磋商小组成员总数的三分之二。</w:t>
      </w:r>
    </w:p>
    <w:p>
      <w:pPr>
        <w:spacing w:line="360" w:lineRule="auto"/>
        <w:ind w:firstLine="480"/>
        <w:rPr>
          <w:rFonts w:ascii="宋体" w:hAnsi="宋体"/>
          <w:szCs w:val="21"/>
        </w:rPr>
      </w:pPr>
      <w:r>
        <w:rPr>
          <w:rFonts w:hint="eastAsia" w:ascii="宋体" w:hAnsi="宋体"/>
          <w:szCs w:val="21"/>
        </w:rPr>
        <w:t xml:space="preserve">6.1．2 磋商小组负责对响应文件进行评审和比较，并向招标人推荐成交候选人。 </w:t>
      </w:r>
    </w:p>
    <w:p>
      <w:pPr>
        <w:spacing w:line="360" w:lineRule="auto"/>
        <w:rPr>
          <w:rFonts w:ascii="宋体" w:hAnsi="宋体"/>
          <w:b/>
          <w:szCs w:val="21"/>
        </w:rPr>
      </w:pPr>
      <w:bookmarkStart w:id="113" w:name="OLE_LINK5"/>
      <w:r>
        <w:rPr>
          <w:rFonts w:hint="eastAsia" w:ascii="宋体" w:hAnsi="宋体"/>
          <w:szCs w:val="21"/>
        </w:rPr>
        <w:t xml:space="preserve">   6</w:t>
      </w:r>
      <w:r>
        <w:rPr>
          <w:rFonts w:hint="eastAsia" w:ascii="宋体" w:hAnsi="宋体"/>
          <w:b/>
          <w:szCs w:val="21"/>
        </w:rPr>
        <w:t>．2响应文件的初审</w:t>
      </w:r>
    </w:p>
    <w:bookmarkEnd w:id="113"/>
    <w:p>
      <w:pPr>
        <w:spacing w:line="360" w:lineRule="auto"/>
        <w:ind w:firstLine="480"/>
        <w:rPr>
          <w:rFonts w:ascii="宋体" w:hAnsi="宋体"/>
          <w:szCs w:val="21"/>
        </w:rPr>
      </w:pPr>
      <w:r>
        <w:rPr>
          <w:rFonts w:hint="eastAsia" w:ascii="宋体" w:hAnsi="宋体"/>
          <w:szCs w:val="21"/>
        </w:rPr>
        <w:t>6.2．1 开标后，招标人将协助磋商小组对响应文件进行初步审查，检查响应文件内容是否完整、编排是否有序、有无计算上的错误、是否提交了磋商保证金、文件签署是否规范以及供应商资格是否符合要求等。</w:t>
      </w:r>
    </w:p>
    <w:p>
      <w:pPr>
        <w:spacing w:line="360" w:lineRule="auto"/>
        <w:ind w:firstLine="480"/>
        <w:rPr>
          <w:rFonts w:ascii="宋体" w:hAnsi="宋体"/>
          <w:szCs w:val="21"/>
        </w:rPr>
      </w:pPr>
      <w:r>
        <w:rPr>
          <w:rFonts w:hint="eastAsia" w:ascii="宋体" w:hAnsi="宋体"/>
          <w:szCs w:val="21"/>
        </w:rPr>
        <w:t>6.2．2 在详细评审之前，磋商小组要对供应商资格进行审核并审查每份响应文件是否实质性响应了磋商文件的要求。实质性响应是指响应文件与磋商文件要求的条款、供应商资格、条件和规格相符，没有磋商文件所规定的无效响应情形。磋商小组只根据响应文件本身的内容来判定响应文件的响应性，而不寻求外部的证据。</w:t>
      </w:r>
    </w:p>
    <w:p>
      <w:pPr>
        <w:spacing w:line="360" w:lineRule="auto"/>
        <w:ind w:firstLine="480"/>
        <w:rPr>
          <w:rFonts w:ascii="宋体" w:hAnsi="宋体"/>
          <w:szCs w:val="21"/>
        </w:rPr>
      </w:pPr>
      <w:r>
        <w:rPr>
          <w:rFonts w:hint="eastAsia" w:ascii="宋体" w:hAnsi="宋体"/>
          <w:szCs w:val="21"/>
        </w:rPr>
        <w:t>6.2．3 没有实质性响应磋商文件要求的响应文件不参加进一步的评审，供应商不得通过修正或撤销不符合要求的偏离或保留从而使其响应文件成为实质上响应的</w:t>
      </w:r>
      <w:r>
        <w:rPr>
          <w:rFonts w:hint="eastAsia" w:ascii="宋体" w:hAnsi="宋体"/>
        </w:rPr>
        <w:t>投标</w:t>
      </w:r>
      <w:r>
        <w:rPr>
          <w:rFonts w:hint="eastAsia" w:ascii="宋体" w:hAnsi="宋体"/>
          <w:szCs w:val="21"/>
        </w:rPr>
        <w:t>。</w:t>
      </w:r>
    </w:p>
    <w:p>
      <w:pPr>
        <w:spacing w:line="360" w:lineRule="auto"/>
        <w:ind w:firstLine="480"/>
        <w:rPr>
          <w:rFonts w:ascii="宋体" w:hAnsi="宋体"/>
          <w:szCs w:val="21"/>
        </w:rPr>
      </w:pPr>
      <w:r>
        <w:rPr>
          <w:rFonts w:hint="eastAsia" w:ascii="宋体" w:hAnsi="宋体"/>
          <w:szCs w:val="21"/>
        </w:rPr>
        <w:t>6.2．4 对于响应文件中不构成实质性偏差的小的不正规、不一致或不规范，招标人可以接受，但这种接受不能影响评审时供应商之间的相对排序。</w:t>
      </w:r>
    </w:p>
    <w:p>
      <w:pPr>
        <w:spacing w:line="360" w:lineRule="auto"/>
        <w:rPr>
          <w:rFonts w:ascii="宋体" w:hAnsi="宋体"/>
          <w:b/>
          <w:szCs w:val="21"/>
        </w:rPr>
      </w:pPr>
      <w:r>
        <w:rPr>
          <w:rFonts w:hint="eastAsia" w:ascii="宋体" w:hAnsi="宋体"/>
          <w:szCs w:val="21"/>
        </w:rPr>
        <w:t xml:space="preserve">    </w:t>
      </w:r>
      <w:r>
        <w:rPr>
          <w:rFonts w:hint="eastAsia" w:ascii="宋体" w:hAnsi="宋体"/>
          <w:b/>
          <w:szCs w:val="21"/>
        </w:rPr>
        <w:t>6．3 响应文件错误的修正</w:t>
      </w:r>
    </w:p>
    <w:p>
      <w:pPr>
        <w:spacing w:line="360" w:lineRule="auto"/>
        <w:ind w:firstLine="420" w:firstLineChars="200"/>
        <w:rPr>
          <w:rFonts w:ascii="宋体"/>
          <w:szCs w:val="21"/>
        </w:rPr>
      </w:pPr>
      <w:r>
        <w:rPr>
          <w:rFonts w:hint="eastAsia" w:ascii="宋体"/>
          <w:szCs w:val="21"/>
        </w:rPr>
        <w:t xml:space="preserve">6.3. 1响应文件中如果有下列计算上的错误，将按以下方法进行修正。修正后的结果对供应商具有约束作用，供应商应接受并确认这种修正，否则，其磋商报价评分将按零分处理： </w:t>
      </w:r>
    </w:p>
    <w:p>
      <w:pPr>
        <w:spacing w:line="360" w:lineRule="auto"/>
        <w:ind w:firstLine="420" w:firstLineChars="200"/>
        <w:rPr>
          <w:rFonts w:ascii="宋体"/>
          <w:szCs w:val="21"/>
        </w:rPr>
      </w:pPr>
      <w:r>
        <w:rPr>
          <w:rFonts w:hint="eastAsia" w:ascii="宋体"/>
          <w:szCs w:val="21"/>
        </w:rPr>
        <w:t>（1）</w:t>
      </w:r>
      <w:r>
        <w:rPr>
          <w:rFonts w:hint="eastAsia" w:ascii="宋体" w:hAnsi="宋体" w:cs="宋体"/>
          <w:bCs/>
          <w:szCs w:val="21"/>
        </w:rPr>
        <w:t>投标书情况汇总表</w:t>
      </w:r>
      <w:r>
        <w:rPr>
          <w:rFonts w:hint="eastAsia" w:ascii="宋体"/>
          <w:szCs w:val="21"/>
        </w:rPr>
        <w:t>与报价明细表及响应文件其它部分内容不一致的，以投标书情况汇总表内容为准；招标项目实行网上方式开标的，网上开标一览表内容与纸质响应文件开标一览表及其它部分内容不一致的，以网上开标一览表内容为准；</w:t>
      </w:r>
    </w:p>
    <w:p>
      <w:pPr>
        <w:spacing w:line="360" w:lineRule="auto"/>
        <w:ind w:firstLine="420" w:firstLineChars="200"/>
        <w:rPr>
          <w:rFonts w:ascii="宋体"/>
          <w:szCs w:val="21"/>
        </w:rPr>
      </w:pPr>
      <w:r>
        <w:rPr>
          <w:rFonts w:hint="eastAsia" w:ascii="宋体"/>
          <w:szCs w:val="21"/>
        </w:rPr>
        <w:t>（2）响应文件的大写金额和小写金额不一致的，以大写金额为准；</w:t>
      </w:r>
    </w:p>
    <w:p>
      <w:pPr>
        <w:spacing w:line="360" w:lineRule="auto"/>
        <w:ind w:firstLine="420" w:firstLineChars="200"/>
        <w:rPr>
          <w:rFonts w:ascii="宋体"/>
          <w:szCs w:val="21"/>
        </w:rPr>
      </w:pPr>
      <w:r>
        <w:rPr>
          <w:rFonts w:hint="eastAsia" w:ascii="宋体"/>
          <w:szCs w:val="21"/>
        </w:rPr>
        <w:t>（3）总价与单价和数量的乘积不一致的，以单价计算结果为准，并修正总价；</w:t>
      </w:r>
    </w:p>
    <w:p>
      <w:pPr>
        <w:spacing w:line="360" w:lineRule="auto"/>
        <w:ind w:firstLine="420" w:firstLineChars="200"/>
        <w:rPr>
          <w:rFonts w:ascii="宋体"/>
          <w:szCs w:val="21"/>
        </w:rPr>
      </w:pPr>
      <w:r>
        <w:rPr>
          <w:rFonts w:hint="eastAsia" w:ascii="宋体"/>
          <w:szCs w:val="21"/>
        </w:rPr>
        <w:t>响应文件中如果同时出现上述两种或两种以上错误的，则根据以上排序，按照序号在先的方法进行修正。</w:t>
      </w:r>
    </w:p>
    <w:p>
      <w:pPr>
        <w:spacing w:line="360" w:lineRule="auto"/>
        <w:ind w:firstLine="420" w:firstLineChars="200"/>
        <w:rPr>
          <w:rFonts w:ascii="宋体"/>
          <w:sz w:val="28"/>
          <w:szCs w:val="28"/>
        </w:rPr>
      </w:pPr>
      <w:r>
        <w:rPr>
          <w:rFonts w:hint="eastAsia" w:ascii="宋体"/>
          <w:szCs w:val="21"/>
        </w:rPr>
        <w:t>6.3. 2如果响应文件中不同文字文本的解释发生异议的，以中文文本为准。其他错误或矛盾，将按不利于出错供应商的原则进行修正，这些修正供应商应予以接受，否则，其响应文件将被作为无效响应处理。</w:t>
      </w:r>
    </w:p>
    <w:p>
      <w:pPr>
        <w:spacing w:line="360" w:lineRule="auto"/>
        <w:ind w:firstLine="422" w:firstLineChars="200"/>
        <w:rPr>
          <w:rFonts w:ascii="宋体" w:hAnsi="宋体"/>
          <w:b/>
          <w:szCs w:val="21"/>
        </w:rPr>
      </w:pPr>
      <w:bookmarkStart w:id="114" w:name="_Toc19077"/>
      <w:r>
        <w:rPr>
          <w:rFonts w:hint="eastAsia" w:ascii="宋体" w:hAnsi="宋体"/>
          <w:b/>
          <w:szCs w:val="21"/>
        </w:rPr>
        <w:t>6．4 响应文件的澄清</w:t>
      </w:r>
      <w:bookmarkEnd w:id="114"/>
    </w:p>
    <w:p>
      <w:pPr>
        <w:spacing w:line="360" w:lineRule="auto"/>
        <w:ind w:firstLine="480"/>
        <w:rPr>
          <w:rFonts w:ascii="宋体" w:hAnsi="宋体"/>
          <w:szCs w:val="21"/>
        </w:rPr>
      </w:pPr>
      <w:r>
        <w:rPr>
          <w:rFonts w:hint="eastAsia" w:ascii="宋体" w:hAnsi="宋体"/>
          <w:szCs w:val="21"/>
        </w:rPr>
        <w:t>6.4．1 为有助于对响应文件审查、评价和比较，磋商小组可分别要求供应商对其响应文件中含义不明确、同类问题表述不一致等有关问题进行澄清。供应商应按照招标人通知的时间和地点委派授权代表向磋商小组作出说明或答复。</w:t>
      </w:r>
    </w:p>
    <w:p>
      <w:pPr>
        <w:spacing w:line="360" w:lineRule="auto"/>
        <w:ind w:firstLine="480"/>
        <w:rPr>
          <w:rFonts w:ascii="宋体" w:hAnsi="宋体"/>
          <w:szCs w:val="21"/>
        </w:rPr>
      </w:pPr>
      <w:r>
        <w:rPr>
          <w:rFonts w:hint="eastAsia" w:ascii="宋体" w:hAnsi="宋体"/>
          <w:szCs w:val="21"/>
        </w:rPr>
        <w:t>6.4．2 供应商对澄清问题的说明或答复，必要时还应以书面形式提交给招标人，并应由供应商授权代表签字和加盖供应商公章。</w:t>
      </w:r>
    </w:p>
    <w:p>
      <w:pPr>
        <w:spacing w:line="360" w:lineRule="auto"/>
        <w:ind w:firstLine="480"/>
        <w:rPr>
          <w:rFonts w:ascii="宋体" w:hAnsi="宋体"/>
          <w:szCs w:val="21"/>
        </w:rPr>
      </w:pPr>
      <w:r>
        <w:rPr>
          <w:rFonts w:hint="eastAsia" w:ascii="宋体" w:hAnsi="宋体"/>
          <w:szCs w:val="21"/>
        </w:rPr>
        <w:t>6.4．3  供应商的澄清文件是其响应文件的组成部分。</w:t>
      </w:r>
    </w:p>
    <w:p>
      <w:pPr>
        <w:spacing w:line="360" w:lineRule="auto"/>
        <w:ind w:firstLine="480"/>
        <w:rPr>
          <w:rFonts w:ascii="宋体" w:hAnsi="宋体"/>
          <w:szCs w:val="21"/>
        </w:rPr>
      </w:pPr>
      <w:r>
        <w:rPr>
          <w:rFonts w:hint="eastAsia" w:ascii="宋体" w:hAnsi="宋体"/>
          <w:szCs w:val="21"/>
        </w:rPr>
        <w:t>6.4．4  供应商的澄清不得改变其响应文件的实质性内容。</w:t>
      </w:r>
    </w:p>
    <w:p>
      <w:pPr>
        <w:spacing w:line="360" w:lineRule="auto"/>
        <w:rPr>
          <w:rFonts w:ascii="宋体" w:hAnsi="宋体"/>
          <w:b/>
          <w:szCs w:val="21"/>
        </w:rPr>
      </w:pPr>
      <w:r>
        <w:rPr>
          <w:rFonts w:hint="eastAsia" w:ascii="宋体" w:hAnsi="宋体"/>
          <w:szCs w:val="21"/>
        </w:rPr>
        <w:t xml:space="preserve">    </w:t>
      </w:r>
      <w:r>
        <w:rPr>
          <w:rFonts w:hint="eastAsia" w:ascii="宋体" w:hAnsi="宋体"/>
          <w:b/>
          <w:szCs w:val="21"/>
        </w:rPr>
        <w:t>6．5响应文件的评价与比较</w:t>
      </w:r>
    </w:p>
    <w:p>
      <w:pPr>
        <w:spacing w:line="360" w:lineRule="auto"/>
        <w:rPr>
          <w:rFonts w:ascii="宋体" w:hAnsi="宋体"/>
          <w:szCs w:val="21"/>
        </w:rPr>
      </w:pPr>
      <w:r>
        <w:rPr>
          <w:rFonts w:hint="eastAsia" w:ascii="宋体" w:hAnsi="宋体"/>
          <w:szCs w:val="21"/>
        </w:rPr>
        <w:t xml:space="preserve">    6.5．1　磋商小组只对被确定为实质上响应磋商文件要求的响应文件进行评价和比较。</w:t>
      </w:r>
    </w:p>
    <w:p>
      <w:pPr>
        <w:spacing w:line="360" w:lineRule="auto"/>
        <w:ind w:firstLine="420"/>
        <w:rPr>
          <w:rFonts w:ascii="宋体" w:hAnsi="宋体"/>
          <w:szCs w:val="21"/>
        </w:rPr>
      </w:pPr>
      <w:r>
        <w:rPr>
          <w:rFonts w:hint="eastAsia" w:ascii="宋体" w:hAnsi="宋体"/>
          <w:szCs w:val="21"/>
        </w:rPr>
        <w:t>6.5．2　磋商小组根据《磋商办法》中规定的方法进行评审，并向招标人提交书面评审报告和推荐成交候选人。</w:t>
      </w:r>
    </w:p>
    <w:p>
      <w:pPr>
        <w:spacing w:line="360" w:lineRule="auto"/>
        <w:rPr>
          <w:rFonts w:ascii="宋体" w:hAnsi="宋体"/>
          <w:b/>
          <w:szCs w:val="21"/>
        </w:rPr>
      </w:pPr>
      <w:r>
        <w:rPr>
          <w:rFonts w:hint="eastAsia" w:ascii="宋体" w:hAnsi="宋体"/>
          <w:szCs w:val="21"/>
        </w:rPr>
        <w:t xml:space="preserve">    </w:t>
      </w:r>
      <w:bookmarkStart w:id="115" w:name="_Toc29142"/>
      <w:r>
        <w:rPr>
          <w:rFonts w:hint="eastAsia" w:ascii="宋体" w:hAnsi="宋体"/>
          <w:b/>
          <w:szCs w:val="21"/>
        </w:rPr>
        <w:t>6.6 磋商的有关要求</w:t>
      </w:r>
      <w:bookmarkEnd w:id="115"/>
    </w:p>
    <w:p>
      <w:pPr>
        <w:spacing w:line="360" w:lineRule="auto"/>
        <w:ind w:firstLine="420" w:firstLineChars="200"/>
        <w:rPr>
          <w:rFonts w:ascii="宋体" w:hAnsi="宋体"/>
          <w:szCs w:val="21"/>
        </w:rPr>
      </w:pPr>
      <w:r>
        <w:rPr>
          <w:rFonts w:hint="eastAsia" w:ascii="宋体" w:hAnsi="宋体"/>
          <w:szCs w:val="21"/>
        </w:rPr>
        <w:t>6.6．1磋商小组应当公平、公正、客观，不带任何倾向性和启发性，磋商小组及有关工作人员不得私下与供应商接触。</w:t>
      </w:r>
    </w:p>
    <w:p>
      <w:pPr>
        <w:spacing w:line="360" w:lineRule="auto"/>
        <w:ind w:firstLine="420" w:firstLineChars="200"/>
        <w:rPr>
          <w:rFonts w:ascii="宋体" w:hAnsi="宋体"/>
          <w:szCs w:val="21"/>
        </w:rPr>
      </w:pPr>
      <w:r>
        <w:rPr>
          <w:rFonts w:hint="eastAsia" w:ascii="宋体" w:hAnsi="宋体"/>
          <w:szCs w:val="21"/>
        </w:rPr>
        <w:t>6.6．2评审过程严格保密。凡是属于审查、澄清、评价和比较有关的资料以及授标建议等，所有知情人均不得向供应商或其他无关的人员透露。</w:t>
      </w:r>
    </w:p>
    <w:p>
      <w:pPr>
        <w:spacing w:line="360" w:lineRule="auto"/>
        <w:ind w:firstLine="420" w:firstLineChars="200"/>
        <w:rPr>
          <w:rFonts w:ascii="宋体" w:hAnsi="宋体"/>
          <w:szCs w:val="21"/>
        </w:rPr>
      </w:pPr>
      <w:r>
        <w:rPr>
          <w:rFonts w:hint="eastAsia" w:ascii="宋体" w:hAnsi="宋体"/>
          <w:szCs w:val="21"/>
        </w:rPr>
        <w:t>6.6．3任何单位和个人都不得干扰、影响评审活动的正常进行。供应商在评审过程中所进行的试图影响评审结果的一切不符合法律或招标规定的活动，都可能导致其</w:t>
      </w:r>
      <w:r>
        <w:rPr>
          <w:rFonts w:hint="eastAsia" w:ascii="宋体" w:hAnsi="宋体"/>
        </w:rPr>
        <w:t>投标</w:t>
      </w:r>
      <w:r>
        <w:rPr>
          <w:rFonts w:hint="eastAsia" w:ascii="宋体" w:hAnsi="宋体"/>
          <w:szCs w:val="21"/>
        </w:rPr>
        <w:t>被拒绝。</w:t>
      </w:r>
    </w:p>
    <w:p>
      <w:pPr>
        <w:spacing w:line="360" w:lineRule="auto"/>
        <w:ind w:firstLine="420" w:firstLineChars="200"/>
        <w:rPr>
          <w:rFonts w:ascii="宋体" w:hAnsi="宋体"/>
          <w:szCs w:val="21"/>
        </w:rPr>
      </w:pPr>
      <w:r>
        <w:rPr>
          <w:rFonts w:hint="eastAsia" w:ascii="宋体" w:hAnsi="宋体"/>
          <w:szCs w:val="21"/>
        </w:rPr>
        <w:t>6.6．4招标人和磋商小组均无义务向供应商进行任何有关评审的解释。</w:t>
      </w:r>
    </w:p>
    <w:p>
      <w:pPr>
        <w:spacing w:before="360" w:line="360" w:lineRule="auto"/>
        <w:rPr>
          <w:b/>
          <w:bCs/>
          <w:sz w:val="28"/>
          <w:szCs w:val="28"/>
        </w:rPr>
      </w:pPr>
      <w:r>
        <w:rPr>
          <w:rFonts w:hint="eastAsia"/>
          <w:b/>
          <w:bCs/>
          <w:sz w:val="28"/>
          <w:szCs w:val="28"/>
        </w:rPr>
        <w:t>7. 合同授予</w:t>
      </w:r>
      <w:bookmarkEnd w:id="107"/>
      <w:bookmarkEnd w:id="108"/>
      <w:bookmarkEnd w:id="109"/>
      <w:bookmarkEnd w:id="110"/>
      <w:bookmarkEnd w:id="111"/>
    </w:p>
    <w:p>
      <w:pPr>
        <w:pStyle w:val="16"/>
        <w:spacing w:line="360" w:lineRule="auto"/>
        <w:outlineLvl w:val="9"/>
      </w:pPr>
      <w:bookmarkStart w:id="116" w:name="_Toc152042343"/>
      <w:bookmarkStart w:id="117" w:name="_Toc152045567"/>
      <w:bookmarkStart w:id="118" w:name="_Toc179632585"/>
      <w:bookmarkStart w:id="119" w:name="_Toc144974535"/>
      <w:r>
        <w:rPr>
          <w:rFonts w:hint="eastAsia"/>
        </w:rPr>
        <w:t>7.1 定标</w:t>
      </w:r>
      <w:bookmarkEnd w:id="116"/>
      <w:bookmarkEnd w:id="117"/>
      <w:bookmarkEnd w:id="118"/>
      <w:bookmarkEnd w:id="119"/>
    </w:p>
    <w:p>
      <w:pPr>
        <w:spacing w:line="360" w:lineRule="auto"/>
        <w:ind w:firstLine="525" w:firstLineChars="250"/>
      </w:pPr>
      <w:bookmarkStart w:id="120" w:name="_Toc152042344"/>
      <w:bookmarkStart w:id="121" w:name="_Toc152045568"/>
      <w:bookmarkStart w:id="122" w:name="_Toc179632586"/>
      <w:bookmarkStart w:id="123" w:name="_Toc144974536"/>
      <w:r>
        <w:rPr>
          <w:rFonts w:hint="eastAsia"/>
        </w:rPr>
        <w:t>除供应商须知前附表规定由磋商小组直接确定成交人外，招标人依据磋商小组推荐的成交候选人应当确定排名第一的成交候选人为成交人。排名第一的成交候选人放弃成交、因不可抗力不能履行合同、不按照磋商文件要求提交履约保证金，或者被查实存在影响成交结果的违法行为等情形，不符合成交条件的，招标人可以按照磋商小组提出的成交候选人名单排序依次确定其他成交候选人为成交人，也可以重新招标。</w:t>
      </w:r>
    </w:p>
    <w:p>
      <w:pPr>
        <w:pStyle w:val="16"/>
        <w:spacing w:line="360" w:lineRule="auto"/>
        <w:outlineLvl w:val="9"/>
      </w:pPr>
      <w:r>
        <w:rPr>
          <w:rFonts w:hint="eastAsia"/>
        </w:rPr>
        <w:t xml:space="preserve">7.2 </w:t>
      </w:r>
      <w:bookmarkEnd w:id="120"/>
      <w:bookmarkEnd w:id="121"/>
      <w:bookmarkEnd w:id="122"/>
      <w:bookmarkEnd w:id="123"/>
      <w:r>
        <w:rPr>
          <w:rFonts w:hint="eastAsia"/>
        </w:rPr>
        <w:t>成交通知</w:t>
      </w:r>
    </w:p>
    <w:p>
      <w:pPr>
        <w:spacing w:line="360" w:lineRule="auto"/>
        <w:ind w:firstLine="420" w:firstLineChars="200"/>
      </w:pPr>
      <w:r>
        <w:rPr>
          <w:rFonts w:hint="eastAsia"/>
        </w:rPr>
        <w:t>在</w:t>
      </w:r>
      <w:r>
        <w:rPr>
          <w:rFonts w:hint="eastAsia" w:ascii="宋体" w:hAnsi="宋体"/>
        </w:rPr>
        <w:t>投标</w:t>
      </w:r>
      <w:r>
        <w:rPr>
          <w:rFonts w:hint="eastAsia"/>
        </w:rPr>
        <w:t>有效期内，招标人以书面形式向成交人发出成交通知书，同时将成交结果通知未成交的供应商。</w:t>
      </w:r>
    </w:p>
    <w:p>
      <w:pPr>
        <w:pStyle w:val="16"/>
        <w:spacing w:line="360" w:lineRule="auto"/>
        <w:outlineLvl w:val="9"/>
      </w:pPr>
      <w:bookmarkStart w:id="124" w:name="_Toc152045569"/>
      <w:bookmarkStart w:id="125" w:name="_Toc179632587"/>
      <w:bookmarkStart w:id="126" w:name="_Toc152042345"/>
      <w:bookmarkStart w:id="127" w:name="_Toc144974537"/>
      <w:r>
        <w:rPr>
          <w:rFonts w:hint="eastAsia"/>
        </w:rPr>
        <w:t>7.3 履约担保</w:t>
      </w:r>
      <w:bookmarkEnd w:id="124"/>
      <w:bookmarkEnd w:id="125"/>
      <w:bookmarkEnd w:id="126"/>
      <w:bookmarkEnd w:id="127"/>
    </w:p>
    <w:p>
      <w:pPr>
        <w:spacing w:line="360" w:lineRule="auto"/>
        <w:ind w:firstLine="420" w:firstLineChars="200"/>
        <w:rPr>
          <w:rFonts w:ascii="宋体" w:hAnsi="宋体"/>
        </w:rPr>
      </w:pPr>
      <w:bookmarkStart w:id="128" w:name="_Toc179632588"/>
      <w:bookmarkStart w:id="129" w:name="_Toc152045570"/>
      <w:bookmarkStart w:id="130" w:name="_Toc144974538"/>
      <w:bookmarkStart w:id="131" w:name="_Toc152042346"/>
      <w:r>
        <w:rPr>
          <w:rFonts w:hint="eastAsia" w:ascii="宋体" w:hAnsi="宋体"/>
        </w:rPr>
        <w:t>7.3.1成交单位在合同协议书签署后14天内，应按磋商文件的规定向招标人提交一份由银行出具的不可撤销的履约保函。履约担保金额为成交金额或合同总价的(10%)。</w:t>
      </w:r>
    </w:p>
    <w:p>
      <w:pPr>
        <w:spacing w:line="360" w:lineRule="auto"/>
        <w:ind w:firstLine="420" w:firstLineChars="200"/>
        <w:rPr>
          <w:rFonts w:ascii="宋体" w:hAnsi="宋体"/>
        </w:rPr>
      </w:pPr>
      <w:r>
        <w:rPr>
          <w:rFonts w:hint="eastAsia" w:ascii="宋体" w:hAnsi="宋体"/>
        </w:rPr>
        <w:t>7.3.2 若成交单位未能按本款上述规定向招标人提交履约保函，招标人则有权取消其成交资格，并没收其磋商保证金。招标人有权将本合同授予评审得分依次的其他供应商或重新招标。</w:t>
      </w:r>
    </w:p>
    <w:p>
      <w:pPr>
        <w:pStyle w:val="16"/>
        <w:spacing w:line="360" w:lineRule="auto"/>
        <w:outlineLvl w:val="9"/>
      </w:pPr>
      <w:r>
        <w:rPr>
          <w:rFonts w:hint="eastAsia"/>
        </w:rPr>
        <w:t>7.4 签订合同</w:t>
      </w:r>
      <w:bookmarkEnd w:id="128"/>
      <w:bookmarkEnd w:id="129"/>
      <w:bookmarkEnd w:id="130"/>
      <w:bookmarkEnd w:id="131"/>
    </w:p>
    <w:p>
      <w:pPr>
        <w:spacing w:line="360" w:lineRule="auto"/>
        <w:ind w:firstLine="420" w:firstLineChars="200"/>
        <w:rPr>
          <w:rFonts w:ascii="宋体" w:hAnsi="宋体"/>
        </w:rPr>
      </w:pPr>
      <w:r>
        <w:rPr>
          <w:rFonts w:hint="eastAsia" w:ascii="宋体" w:hAnsi="宋体"/>
        </w:rPr>
        <w:t xml:space="preserve">7.4.1招标人和成交人应当自成交通知书发出之日起30天内，根据磋商文件和成交人的响应文件订立书面合同。成交人无正当理由拒签合同的，招标人有权取消其成交资格，其磋商保证金不予退还；给招标人造成的损失超过磋商保证金数额的，成交人还应当对超过部分予以赔偿。 </w:t>
      </w:r>
    </w:p>
    <w:p>
      <w:pPr>
        <w:spacing w:line="360" w:lineRule="auto"/>
        <w:ind w:firstLine="420" w:firstLineChars="200"/>
        <w:rPr>
          <w:rFonts w:ascii="宋体" w:hAnsi="宋体"/>
        </w:rPr>
      </w:pPr>
      <w:r>
        <w:rPr>
          <w:rFonts w:hint="eastAsia" w:ascii="宋体" w:hAnsi="宋体"/>
        </w:rPr>
        <w:t xml:space="preserve">7.4.2 发出成交通知书后，招标人无正当理由拒签合同的，招标人应向成交人双倍退还磋商保证金；给成交人造成损失的，还应当赔偿损失。 </w:t>
      </w:r>
    </w:p>
    <w:p>
      <w:pPr>
        <w:spacing w:line="360" w:lineRule="auto"/>
        <w:ind w:firstLine="420" w:firstLineChars="200"/>
        <w:rPr>
          <w:rFonts w:ascii="宋体" w:hAnsi="宋体"/>
        </w:rPr>
      </w:pPr>
      <w:r>
        <w:rPr>
          <w:rFonts w:hint="eastAsia" w:ascii="宋体" w:hAnsi="宋体"/>
        </w:rPr>
        <w:t>7.4.3 本工程合同形式见投标须知前附表。</w:t>
      </w: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11"/>
        <w:numPr>
          <w:ilvl w:val="0"/>
          <w:numId w:val="3"/>
        </w:numPr>
        <w:adjustRightInd w:val="0"/>
        <w:spacing w:line="360" w:lineRule="auto"/>
        <w:jc w:val="center"/>
        <w:textAlignment w:val="baseline"/>
        <w:outlineLvl w:val="0"/>
        <w:rPr>
          <w:rFonts w:asciiTheme="minorEastAsia" w:hAnsiTheme="minorEastAsia" w:eastAsiaTheme="minorEastAsia" w:cstheme="minorEastAsia"/>
          <w:bCs/>
          <w:sz w:val="36"/>
          <w:szCs w:val="36"/>
        </w:rPr>
      </w:pPr>
      <w:bookmarkStart w:id="132" w:name="_Toc354060228"/>
      <w:bookmarkStart w:id="133" w:name="_Toc4219"/>
      <w:bookmarkStart w:id="134" w:name="_Toc9346"/>
      <w:r>
        <w:rPr>
          <w:rFonts w:hint="eastAsia"/>
        </w:rPr>
        <w:t xml:space="preserve">  </w:t>
      </w:r>
      <w:bookmarkStart w:id="135" w:name="_Toc10823"/>
      <w:r>
        <w:rPr>
          <w:rFonts w:hint="eastAsia" w:asciiTheme="minorEastAsia" w:hAnsiTheme="minorEastAsia" w:eastAsiaTheme="minorEastAsia" w:cstheme="minorEastAsia"/>
          <w:bCs/>
          <w:sz w:val="36"/>
          <w:szCs w:val="36"/>
        </w:rPr>
        <w:t>评审办法</w:t>
      </w:r>
      <w:bookmarkEnd w:id="135"/>
    </w:p>
    <w:bookmarkEnd w:id="132"/>
    <w:bookmarkEnd w:id="133"/>
    <w:bookmarkEnd w:id="134"/>
    <w:p>
      <w:pPr>
        <w:spacing w:line="360" w:lineRule="auto"/>
        <w:ind w:firstLine="420" w:firstLineChars="200"/>
        <w:rPr>
          <w:rFonts w:ascii="宋体" w:hAnsi="宋体"/>
        </w:rPr>
      </w:pPr>
      <w:r>
        <w:rPr>
          <w:rFonts w:hint="eastAsia" w:ascii="宋体" w:hAnsi="宋体"/>
        </w:rPr>
        <w:t>根据《中华人民共和国政府采购法》、《中华人民共和国政府采购法实施条例》、《政府采购竞争性磋商采购方式管理暂行办法》等有关法律法规，结合本项目的实际需求，制定本办法。</w:t>
      </w:r>
    </w:p>
    <w:p>
      <w:pPr>
        <w:spacing w:line="360" w:lineRule="auto"/>
        <w:ind w:firstLine="422" w:firstLineChars="200"/>
        <w:rPr>
          <w:rFonts w:ascii="宋体" w:hAnsi="宋体"/>
          <w:b/>
          <w:bCs/>
        </w:rPr>
      </w:pPr>
      <w:r>
        <w:rPr>
          <w:rFonts w:hint="eastAsia" w:ascii="宋体" w:hAnsi="宋体"/>
          <w:b/>
          <w:bCs/>
        </w:rPr>
        <w:t>一、总则</w:t>
      </w:r>
    </w:p>
    <w:p>
      <w:pPr>
        <w:spacing w:line="360" w:lineRule="auto"/>
        <w:ind w:firstLine="420" w:firstLineChars="200"/>
        <w:rPr>
          <w:rFonts w:ascii="宋体" w:hAnsi="宋体"/>
        </w:rPr>
      </w:pPr>
      <w:r>
        <w:rPr>
          <w:rFonts w:hint="eastAsia" w:ascii="宋体" w:hAnsi="宋体"/>
        </w:rPr>
        <w:t>本次评审总分为100分。合格响应方的得分为各项目汇总得分，成交推荐候选资格按得分由高到低顺序排列，得分相同的，按最终报价由低到高顺序排列；得分且最终报价相同的，按技术得分由高到低顺序排列。评分过程中采用四舍五入法，并保留小数2位。</w:t>
      </w:r>
    </w:p>
    <w:p>
      <w:pPr>
        <w:spacing w:line="360" w:lineRule="auto"/>
        <w:ind w:firstLine="422" w:firstLineChars="200"/>
        <w:rPr>
          <w:rFonts w:ascii="宋体" w:hAnsi="宋体"/>
          <w:b/>
          <w:bCs/>
        </w:rPr>
      </w:pPr>
      <w:r>
        <w:rPr>
          <w:rFonts w:hint="eastAsia" w:ascii="宋体" w:hAnsi="宋体"/>
          <w:b/>
          <w:bCs/>
        </w:rPr>
        <w:t>二、分值的计算</w:t>
      </w:r>
    </w:p>
    <w:p>
      <w:pPr>
        <w:spacing w:line="360" w:lineRule="auto"/>
        <w:ind w:firstLine="420" w:firstLineChars="200"/>
        <w:rPr>
          <w:rFonts w:ascii="宋体" w:hAnsi="宋体"/>
        </w:rPr>
      </w:pPr>
      <w:r>
        <w:rPr>
          <w:rFonts w:hint="eastAsia" w:ascii="宋体" w:hAnsi="宋体"/>
        </w:rPr>
        <w:t>磋商报价得分=（磋商基准价/最终磋商报价）×价格权值×100</w:t>
      </w:r>
    </w:p>
    <w:p>
      <w:pPr>
        <w:spacing w:line="360" w:lineRule="auto"/>
        <w:ind w:firstLine="420" w:firstLineChars="200"/>
        <w:rPr>
          <w:rFonts w:ascii="宋体" w:hAnsi="宋体"/>
        </w:rPr>
      </w:pPr>
      <w:r>
        <w:rPr>
          <w:rFonts w:hint="eastAsia" w:ascii="宋体" w:hAnsi="宋体"/>
        </w:rPr>
        <w:t>技术、资信、商务及其他分按照磋商小组成员的独立评分结果汇总后的算术平均分计算，计算公式为：</w:t>
      </w:r>
    </w:p>
    <w:p>
      <w:pPr>
        <w:spacing w:line="360" w:lineRule="auto"/>
        <w:ind w:firstLine="420" w:firstLineChars="200"/>
        <w:rPr>
          <w:rFonts w:ascii="宋体" w:hAnsi="宋体"/>
        </w:rPr>
      </w:pPr>
      <w:r>
        <w:rPr>
          <w:rFonts w:hint="eastAsia" w:ascii="宋体" w:hAnsi="宋体"/>
        </w:rPr>
        <w:t>技术、资信商务及其他分=磋商小组所有成员评分合计数/磋商小组成员组成人数</w:t>
      </w:r>
    </w:p>
    <w:p>
      <w:pPr>
        <w:spacing w:line="360" w:lineRule="auto"/>
        <w:ind w:firstLine="420" w:firstLineChars="200"/>
        <w:rPr>
          <w:rFonts w:ascii="宋体" w:hAnsi="宋体"/>
        </w:rPr>
      </w:pPr>
      <w:r>
        <w:rPr>
          <w:rFonts w:hint="eastAsia" w:ascii="宋体" w:hAnsi="宋体"/>
        </w:rPr>
        <w:t>响应方综合得分=价格分+(技术分+资信商务及其他分)</w:t>
      </w:r>
    </w:p>
    <w:p>
      <w:pPr>
        <w:spacing w:line="360" w:lineRule="auto"/>
        <w:ind w:firstLine="422" w:firstLineChars="200"/>
        <w:rPr>
          <w:rFonts w:ascii="宋体" w:hAnsi="宋体"/>
          <w:b/>
          <w:bCs/>
        </w:rPr>
      </w:pPr>
      <w:r>
        <w:rPr>
          <w:rFonts w:hint="eastAsia" w:ascii="宋体" w:hAnsi="宋体"/>
          <w:b/>
          <w:bCs/>
        </w:rPr>
        <w:t>三、评审内容及标准</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（一）、总则</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磋商办法根据《中华人民共和国政府采购法》、《中华人民共和国招标投标法》、《政府采购竞争性磋商采购方式管理暂行办法》及其他法律、法规的规定并结合本工程磋商文件中的有关条款予以制定，本办法是采购人确定中标人的依据。在磋商过程中将坚持和充分地体现公平、公正和合理的原则，以最高得分者为中标人。</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2、本工程磋商采用“综合评分法”。</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以百分制计算，设总分为100分(其中技术标满分为70分，商务标30分)。综合得分=技术标得分+商务标得分，最高者为第一名，依此类推确定得分排名顺序。商务报价得分打分分值精确到小数点后二位，第三位数四舍五入；技术分打分分值最小为“0.1”分，综合得分保留到小数点后二位，第三位数四舍五入。</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3、本次磋商项目的磋商小组由技术经济等方面的专家与采购人代表组成，成员人数为3人，其中采购人代表1人，其余技术、经济等方面的专家评委从上海市相关专家库中抽取。</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4、磋商小组成员须磋商报告上签字。</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5、在磋商、决标过程中应遵照执行磋商文件及磋商办法的规定，任何人不得干预磋商过程和决定中标人，如有违反上述规定的，根据情节的轻重依法进行处理。</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6、在磋商过程中，磋商小组应按以下原则评审：</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6.1磋商小组应根据磋商文件、磋商办法及入选评审对象的响应文件，审查回标分析报告，并确认其真实性。</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6.2磋商小组如需要，可要求入选评审对象作出澄清、说明和补正。</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7、评审的基本程序</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磋商活动将按以下四个步骤进行：</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7.1资格检查；</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7.2磋商评审（按顺序各家磋商评审）；</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7.3磋商打分；</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7.4推荐中标候选人并提交磋商结果文件。</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8、定标办法：综合得分=技术标得分+商务标得分。</w:t>
      </w:r>
      <w:r>
        <w:rPr>
          <w:rFonts w:hint="eastAsia" w:ascii="宋体" w:hAnsi="宋体" w:cs="宋体"/>
          <w:bCs/>
          <w:szCs w:val="21"/>
        </w:rPr>
        <w:t>磋商小组应当根据综合评分情况，按照评审得分由高到低顺序推荐3名成交候选供应商。综合得分最高者为第一名，依此类推确定得分排名顺序。</w:t>
      </w:r>
      <w:r>
        <w:rPr>
          <w:rFonts w:hint="eastAsia" w:asciiTheme="minorEastAsia" w:hAnsiTheme="minorEastAsia" w:eastAsiaTheme="minorEastAsia" w:cstheme="minorEastAsia"/>
          <w:bCs/>
          <w:szCs w:val="21"/>
        </w:rPr>
        <w:t>采购人根据磋商小组的磋商报告确定排名第一的中标候选人为中标人。排名第一的中标候选人放弃中标、因不可抗力不能履行合同、未按磋商文件要求提交履约保证金，或者被查实存在影响中标结果的违法行为，不符合中标条件的，采购人可以确定排名第二的中标候选人为中标人，依此类推。</w:t>
      </w:r>
    </w:p>
    <w:p>
      <w:pPr>
        <w:rPr>
          <w:rFonts w:asciiTheme="minorEastAsia" w:hAnsiTheme="minorEastAsia" w:eastAsiaTheme="minorEastAsia" w:cstheme="minorEastAsia"/>
          <w:bCs/>
          <w:szCs w:val="21"/>
        </w:rPr>
      </w:pPr>
    </w:p>
    <w:p>
      <w:pPr>
        <w:adjustRightInd w:val="0"/>
        <w:snapToGrid w:val="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（二）、资格检查</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由磋商小组对各响应文件进行初步评审，只有通过初步评审的响应文件才能进入商务详细评审，出现以下情况的为未通过初步评审，经磋商小组认定后，其响应文件将被否决。初步（符合性）评审具体内容如下：</w:t>
      </w:r>
    </w:p>
    <w:p>
      <w:pPr>
        <w:adjustRightInd w:val="0"/>
        <w:snapToGrid w:val="0"/>
        <w:spacing w:line="360" w:lineRule="auto"/>
        <w:ind w:firstLine="435"/>
        <w:rPr>
          <w:rFonts w:hAnsi="宋体"/>
          <w:szCs w:val="21"/>
        </w:rPr>
      </w:pPr>
      <w:r>
        <w:rPr>
          <w:rFonts w:hint="eastAsia" w:hAnsi="宋体"/>
          <w:szCs w:val="21"/>
        </w:rPr>
        <w:t>采购人将依据法律法规和竞争性磋商文件的</w:t>
      </w:r>
      <w:r>
        <w:rPr>
          <w:rFonts w:hint="eastAsia" w:ascii="宋体" w:hAnsi="宋体"/>
          <w:szCs w:val="21"/>
        </w:rPr>
        <w:t>《供应商须知》、《资格条件响应表》</w:t>
      </w:r>
      <w:r>
        <w:rPr>
          <w:rFonts w:hint="eastAsia" w:hAnsi="宋体"/>
          <w:szCs w:val="21"/>
        </w:rPr>
        <w:t>，</w:t>
      </w:r>
      <w:r>
        <w:rPr>
          <w:rFonts w:hint="eastAsia" w:ascii="宋体" w:hAnsi="宋体"/>
          <w:szCs w:val="21"/>
        </w:rPr>
        <w:t>对供应商进行资格审查。</w:t>
      </w:r>
      <w:r>
        <w:rPr>
          <w:rFonts w:hint="eastAsia" w:hAnsi="宋体"/>
          <w:szCs w:val="21"/>
        </w:rPr>
        <w:t>确定符合资格的供应商不少于</w:t>
      </w:r>
      <w:r>
        <w:rPr>
          <w:rFonts w:hAnsi="宋体"/>
          <w:szCs w:val="21"/>
        </w:rPr>
        <w:t>3</w:t>
      </w:r>
      <w:r>
        <w:rPr>
          <w:rFonts w:hint="eastAsia" w:hAnsi="宋体"/>
          <w:szCs w:val="21"/>
        </w:rPr>
        <w:t>家的，将组织磋商小组进行评标。</w:t>
      </w:r>
    </w:p>
    <w:p>
      <w:pPr>
        <w:jc w:val="center"/>
        <w:rPr>
          <w:b/>
        </w:rPr>
      </w:pPr>
      <w:r>
        <w:rPr>
          <w:rFonts w:hint="eastAsia"/>
          <w:b/>
        </w:rPr>
        <w:t>资格条件响应表</w:t>
      </w:r>
    </w:p>
    <w:p/>
    <w:tbl>
      <w:tblPr>
        <w:tblStyle w:val="20"/>
        <w:tblW w:w="9580" w:type="dxa"/>
        <w:jc w:val="center"/>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343"/>
        <w:gridCol w:w="4252"/>
        <w:gridCol w:w="49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98"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序号</w:t>
            </w:r>
          </w:p>
        </w:tc>
        <w:tc>
          <w:tcPr>
            <w:tcW w:w="422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sz w:val="24"/>
              </w:rPr>
            </w:pPr>
            <w:r>
              <w:rPr>
                <w:rFonts w:hint="eastAsia"/>
              </w:rPr>
              <w:t>项目内容</w:t>
            </w:r>
          </w:p>
        </w:tc>
        <w:tc>
          <w:tcPr>
            <w:tcW w:w="494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sz w:val="24"/>
              </w:rPr>
            </w:pPr>
            <w:r>
              <w:rPr>
                <w:rFonts w:hint="eastAsia"/>
              </w:rPr>
              <w:t>具备的条件说明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57" w:hRule="atLeast"/>
          <w:tblCellSpacing w:w="15" w:type="dxa"/>
          <w:jc w:val="center"/>
        </w:trPr>
        <w:tc>
          <w:tcPr>
            <w:tcW w:w="29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422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left"/>
              <w:rPr>
                <w:rFonts w:ascii="宋体" w:hAnsi="宋体" w:cs="宋体"/>
                <w:kern w:val="0"/>
                <w:szCs w:val="21"/>
              </w:rPr>
            </w:pPr>
            <w:r>
              <w:rPr>
                <w:rFonts w:hint="eastAsia" w:ascii="宋体" w:hAnsi="宋体" w:cs="宋体"/>
                <w:kern w:val="0"/>
                <w:szCs w:val="21"/>
              </w:rPr>
              <w:t>符合《中华人民共和国政府采购法》第二十二条规定</w:t>
            </w:r>
          </w:p>
        </w:tc>
        <w:tc>
          <w:tcPr>
            <w:tcW w:w="49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left"/>
              <w:rPr>
                <w:rFonts w:ascii="宋体" w:hAnsi="宋体" w:cs="宋体"/>
                <w:kern w:val="0"/>
                <w:szCs w:val="21"/>
              </w:rPr>
            </w:pPr>
            <w:r>
              <w:rPr>
                <w:rFonts w:hint="eastAsia" w:ascii="宋体" w:hAnsi="宋体" w:cs="宋体"/>
                <w:kern w:val="0"/>
                <w:szCs w:val="21"/>
              </w:rPr>
              <w:t>（1）营业执照；</w:t>
            </w:r>
          </w:p>
          <w:p>
            <w:pPr>
              <w:widowControl/>
              <w:spacing w:before="100" w:beforeAutospacing="1" w:after="100" w:afterAutospacing="1" w:line="360" w:lineRule="auto"/>
              <w:jc w:val="left"/>
              <w:rPr>
                <w:rFonts w:ascii="宋体" w:hAnsi="宋体" w:cs="宋体"/>
                <w:kern w:val="0"/>
                <w:szCs w:val="21"/>
              </w:rPr>
            </w:pPr>
            <w:r>
              <w:rPr>
                <w:rFonts w:hint="eastAsia" w:ascii="宋体" w:hAnsi="宋体" w:cs="宋体"/>
                <w:kern w:val="0"/>
                <w:szCs w:val="21"/>
              </w:rPr>
              <w:t>（2）近半年内任意一月的依法缴纳税收的证明；</w:t>
            </w:r>
          </w:p>
          <w:p>
            <w:pPr>
              <w:widowControl/>
              <w:spacing w:before="100" w:beforeAutospacing="1" w:after="100" w:afterAutospacing="1" w:line="360" w:lineRule="auto"/>
              <w:jc w:val="left"/>
              <w:rPr>
                <w:rFonts w:ascii="宋体" w:hAnsi="宋体" w:cs="宋体"/>
                <w:kern w:val="0"/>
                <w:szCs w:val="21"/>
              </w:rPr>
            </w:pPr>
            <w:r>
              <w:rPr>
                <w:rFonts w:hint="eastAsia" w:ascii="宋体" w:hAnsi="宋体" w:cs="宋体"/>
                <w:kern w:val="0"/>
                <w:szCs w:val="21"/>
              </w:rPr>
              <w:t>（3）近半年内任意一月的社会保障资金的证明；</w:t>
            </w:r>
          </w:p>
          <w:p>
            <w:pPr>
              <w:widowControl/>
              <w:spacing w:before="100" w:beforeAutospacing="1" w:after="100" w:afterAutospacing="1" w:line="360" w:lineRule="auto"/>
              <w:jc w:val="left"/>
              <w:rPr>
                <w:rFonts w:ascii="宋体" w:hAnsi="宋体" w:cs="宋体"/>
                <w:kern w:val="0"/>
                <w:szCs w:val="21"/>
              </w:rPr>
            </w:pPr>
            <w:r>
              <w:rPr>
                <w:rFonts w:hint="eastAsia" w:ascii="宋体" w:hAnsi="宋体" w:cs="宋体"/>
                <w:kern w:val="0"/>
                <w:szCs w:val="21"/>
              </w:rPr>
              <w:t>（4）近一年财务报表；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9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422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left"/>
              <w:rPr>
                <w:rFonts w:ascii="宋体" w:hAnsi="宋体" w:cs="宋体"/>
                <w:kern w:val="0"/>
                <w:szCs w:val="21"/>
              </w:rPr>
            </w:pPr>
            <w:r>
              <w:rPr>
                <w:rFonts w:hint="eastAsia" w:ascii="宋体" w:hAnsi="宋体" w:cs="宋体"/>
                <w:kern w:val="0"/>
                <w:szCs w:val="21"/>
              </w:rPr>
              <w:t>法定代表人授权委托书</w:t>
            </w:r>
          </w:p>
        </w:tc>
        <w:tc>
          <w:tcPr>
            <w:tcW w:w="49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left"/>
              <w:rPr>
                <w:rFonts w:ascii="宋体" w:hAnsi="宋体" w:cs="宋体"/>
                <w:kern w:val="0"/>
                <w:szCs w:val="21"/>
              </w:rPr>
            </w:pPr>
            <w:r>
              <w:rPr>
                <w:rFonts w:hint="eastAsia" w:ascii="宋体" w:hAnsi="宋体" w:cs="宋体"/>
                <w:kern w:val="0"/>
                <w:szCs w:val="21"/>
              </w:rPr>
              <w:t>提供有效的法定代表人授权委托书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9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422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left"/>
              <w:rPr>
                <w:rFonts w:ascii="宋体" w:hAnsi="宋体" w:cs="宋体"/>
                <w:kern w:val="0"/>
                <w:szCs w:val="21"/>
              </w:rPr>
            </w:pPr>
            <w:r>
              <w:rPr>
                <w:rFonts w:hint="eastAsia" w:ascii="宋体" w:hAnsi="宋体" w:cs="宋体"/>
                <w:kern w:val="0"/>
                <w:szCs w:val="21"/>
              </w:rPr>
              <w:t>被委托人身份证</w:t>
            </w:r>
          </w:p>
        </w:tc>
        <w:tc>
          <w:tcPr>
            <w:tcW w:w="49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left"/>
              <w:rPr>
                <w:rFonts w:ascii="宋体" w:hAnsi="宋体" w:cs="宋体"/>
                <w:kern w:val="0"/>
                <w:szCs w:val="21"/>
              </w:rPr>
            </w:pPr>
            <w:r>
              <w:rPr>
                <w:rFonts w:hint="eastAsia" w:ascii="宋体" w:hAnsi="宋体" w:cs="宋体"/>
                <w:kern w:val="0"/>
                <w:szCs w:val="21"/>
              </w:rPr>
              <w:t>提供有效的被委托人身份证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 w:hRule="atLeast"/>
          <w:tblCellSpacing w:w="15" w:type="dxa"/>
          <w:jc w:val="center"/>
        </w:trPr>
        <w:tc>
          <w:tcPr>
            <w:tcW w:w="29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4</w:t>
            </w:r>
          </w:p>
        </w:tc>
        <w:tc>
          <w:tcPr>
            <w:tcW w:w="422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left"/>
              <w:rPr>
                <w:rFonts w:ascii="宋体" w:hAnsi="宋体" w:cs="宋体"/>
                <w:kern w:val="0"/>
                <w:szCs w:val="21"/>
              </w:rPr>
            </w:pPr>
            <w:r>
              <w:rPr>
                <w:rFonts w:hint="eastAsia" w:ascii="Arial" w:hAnsi="Arial" w:cs="Arial"/>
                <w:szCs w:val="21"/>
              </w:rPr>
              <w:t>未被列入“信用中国”网站（http://www.creditchina.gov.cn）</w:t>
            </w:r>
            <w:r>
              <w:rPr>
                <w:rFonts w:hint="eastAsia" w:ascii="Arial" w:hAnsi="Arial" w:cs="Arial"/>
                <w:b/>
                <w:szCs w:val="21"/>
              </w:rPr>
              <w:t>失信被执行人、重大税收违法案件当事人、政府采购不良行为记录</w:t>
            </w:r>
            <w:r>
              <w:rPr>
                <w:rFonts w:hint="eastAsia" w:ascii="Arial" w:hAnsi="Arial" w:cs="Arial"/>
                <w:szCs w:val="21"/>
              </w:rPr>
              <w:t>名单内；未被列入“中国政府采购网”网站</w:t>
            </w:r>
            <w:r>
              <w:rPr>
                <w:rFonts w:hint="eastAsia" w:ascii="Arial" w:hAnsi="Arial" w:cs="Arial"/>
                <w:b/>
                <w:szCs w:val="21"/>
              </w:rPr>
              <w:t>政府采购严重为违法失信行为记录</w:t>
            </w:r>
            <w:r>
              <w:rPr>
                <w:rFonts w:hint="eastAsia" w:ascii="Arial" w:hAnsi="Arial" w:cs="Arial"/>
                <w:szCs w:val="21"/>
              </w:rPr>
              <w:t>名单内</w:t>
            </w:r>
          </w:p>
        </w:tc>
        <w:tc>
          <w:tcPr>
            <w:tcW w:w="49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宋体" w:hAnsi="宋体" w:cs="宋体"/>
                <w:kern w:val="0"/>
                <w:szCs w:val="21"/>
              </w:rPr>
            </w:pPr>
            <w:r>
              <w:rPr>
                <w:rFonts w:hint="eastAsia"/>
              </w:rPr>
              <w:t>供</w:t>
            </w:r>
            <w:r>
              <w:rPr>
                <w:rFonts w:hint="eastAsia" w:ascii="宋体" w:hAnsi="宋体" w:cs="宋体"/>
                <w:kern w:val="0"/>
                <w:szCs w:val="21"/>
              </w:rPr>
              <w:t>应商须在投标（响应）文件中提供“信用中国”及“中国政府采购网”查询结果页面截图，查询时间需为获取采购文件到投标（响应）截止时间之间；查询结果应包含以下页面：</w:t>
            </w:r>
          </w:p>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（1）信用中国失信被执行人查询结果页</w:t>
            </w:r>
          </w:p>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（2）信用中国重大税收违法案件当事人查询结果页面</w:t>
            </w:r>
          </w:p>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（3）信用中国政府采购不良行为记录查询结果页面</w:t>
            </w:r>
          </w:p>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（4）信用中国信用报告</w:t>
            </w:r>
          </w:p>
          <w:p>
            <w:pPr>
              <w:widowControl/>
              <w:spacing w:before="100" w:beforeAutospacing="1" w:after="100" w:afterAutospacing="1"/>
              <w:jc w:val="left"/>
              <w:rPr>
                <w:rFonts w:hint="eastAsia" w:ascii="宋体" w:hAnsi="宋体" w:eastAsia="宋体" w:cs="宋体"/>
                <w:kern w:val="0"/>
                <w:szCs w:val="21"/>
                <w:lang w:val="en-US" w:eastAsia="zh-CN"/>
              </w:rPr>
            </w:pPr>
            <w:r>
              <w:rPr>
                <w:rFonts w:hint="eastAsia" w:ascii="宋体" w:hAnsi="宋体" w:cs="宋体"/>
                <w:kern w:val="0"/>
                <w:szCs w:val="21"/>
              </w:rPr>
              <w:t>（5）中国政府采购网政府采购严重违法失信行为行为信息记录查询结果页面</w:t>
            </w:r>
            <w:r>
              <w:rPr>
                <w:rFonts w:hint="eastAsia" w:ascii="宋体" w:hAnsi="宋体" w:cs="宋体"/>
                <w:kern w:val="0"/>
                <w:szCs w:val="21"/>
                <w:lang w:eastAsia="zh-CN"/>
              </w:rPr>
              <w:t>。</w:t>
            </w:r>
          </w:p>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未提供查询结果或查询结果不完整或供应商被列入失信被执行人、重大税收违法案件当事人、政府采购不良行为记录、政府采购严重违法失信行为记录名单的其投标（响应）文件无效。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 w:hRule="atLeast"/>
          <w:tblCellSpacing w:w="15" w:type="dxa"/>
          <w:jc w:val="center"/>
        </w:trPr>
        <w:tc>
          <w:tcPr>
            <w:tcW w:w="29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tc>
          <w:tcPr>
            <w:tcW w:w="422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auto"/>
              <w:jc w:val="left"/>
              <w:rPr>
                <w:rFonts w:ascii="Arial" w:hAnsi="Arial" w:cs="Arial"/>
                <w:szCs w:val="21"/>
              </w:rPr>
            </w:pPr>
            <w:r>
              <w:rPr>
                <w:rFonts w:hint="eastAsia" w:ascii="Arial" w:hAnsi="Arial" w:cs="Arial"/>
                <w:szCs w:val="21"/>
              </w:rPr>
              <w:t>资质要求</w:t>
            </w:r>
          </w:p>
        </w:tc>
        <w:tc>
          <w:tcPr>
            <w:tcW w:w="49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pPr>
            <w:r>
              <w:rPr>
                <w:rFonts w:hint="eastAsia"/>
              </w:rPr>
              <w:t>（1）须具备</w:t>
            </w:r>
            <w:r>
              <w:rPr>
                <w:rFonts w:hint="eastAsia"/>
                <w:sz w:val="21"/>
                <w:szCs w:val="21"/>
                <w:shd w:val="clear" w:color="auto" w:fill="FFFFFF"/>
                <w:lang w:val="en-US" w:eastAsia="zh-CN"/>
              </w:rPr>
              <w:t>建筑</w:t>
            </w:r>
            <w:r>
              <w:rPr>
                <w:rFonts w:hint="eastAsia"/>
                <w:sz w:val="21"/>
                <w:szCs w:val="21"/>
                <w:shd w:val="clear" w:color="auto" w:fill="FFFFFF"/>
                <w:lang w:eastAsia="zh-CN"/>
              </w:rPr>
              <w:t>施工总承包三级</w:t>
            </w:r>
            <w:r>
              <w:rPr>
                <w:rFonts w:hint="eastAsia"/>
              </w:rPr>
              <w:t>及其以上资质证书（外地企业需在本市建设工程行政主管部门备案）；</w:t>
            </w:r>
          </w:p>
          <w:p>
            <w:pPr>
              <w:widowControl/>
              <w:spacing w:before="100" w:beforeAutospacing="1" w:after="100" w:afterAutospacing="1"/>
              <w:jc w:val="left"/>
            </w:pPr>
            <w:r>
              <w:rPr>
                <w:rFonts w:hint="eastAsia"/>
              </w:rPr>
              <w:t>（2）须具备有效的《安全生产许可证》；</w:t>
            </w:r>
          </w:p>
          <w:p>
            <w:pPr>
              <w:widowControl/>
              <w:spacing w:before="100" w:beforeAutospacing="1" w:after="100" w:afterAutospacing="1"/>
              <w:jc w:val="left"/>
            </w:pPr>
            <w:r>
              <w:rPr>
                <w:rFonts w:hint="eastAsia"/>
              </w:rPr>
              <w:t>（3）建造师须具备</w:t>
            </w:r>
            <w:r>
              <w:rPr>
                <w:rFonts w:hint="eastAsia"/>
                <w:lang w:val="en-US" w:eastAsia="zh-CN"/>
              </w:rPr>
              <w:t>建筑工程</w:t>
            </w:r>
            <w:r>
              <w:rPr>
                <w:rFonts w:hint="eastAsia"/>
              </w:rPr>
              <w:t>专业注册二级及以上建造师资格，且具备安全生产考核合格证书；</w:t>
            </w:r>
          </w:p>
        </w:tc>
      </w:tr>
    </w:tbl>
    <w:p>
      <w:pPr>
        <w:jc w:val="center"/>
        <w:rPr>
          <w:rFonts w:ascii="宋体" w:hAnsi="宋体"/>
          <w:b/>
          <w:kern w:val="0"/>
          <w:szCs w:val="21"/>
        </w:rPr>
      </w:pPr>
    </w:p>
    <w:p>
      <w:pPr>
        <w:pStyle w:val="9"/>
        <w:rPr>
          <w:rFonts w:ascii="宋体" w:hAnsi="宋体"/>
          <w:b/>
          <w:kern w:val="0"/>
          <w:szCs w:val="21"/>
        </w:rPr>
      </w:pPr>
    </w:p>
    <w:p>
      <w:pPr>
        <w:pStyle w:val="9"/>
        <w:rPr>
          <w:rFonts w:ascii="宋体" w:hAnsi="宋体"/>
          <w:b/>
          <w:kern w:val="0"/>
          <w:szCs w:val="21"/>
        </w:rPr>
      </w:pPr>
    </w:p>
    <w:p>
      <w:pPr>
        <w:pStyle w:val="9"/>
        <w:rPr>
          <w:rFonts w:ascii="宋体" w:hAnsi="宋体"/>
          <w:b/>
          <w:kern w:val="0"/>
          <w:szCs w:val="21"/>
        </w:rPr>
      </w:pPr>
    </w:p>
    <w:p>
      <w:pPr>
        <w:pStyle w:val="9"/>
        <w:rPr>
          <w:rFonts w:ascii="宋体" w:hAnsi="宋体"/>
          <w:b/>
          <w:kern w:val="0"/>
          <w:szCs w:val="21"/>
        </w:rPr>
      </w:pPr>
    </w:p>
    <w:p>
      <w:pPr>
        <w:pStyle w:val="9"/>
        <w:rPr>
          <w:rFonts w:ascii="宋体" w:hAnsi="宋体"/>
          <w:b/>
          <w:kern w:val="0"/>
          <w:szCs w:val="21"/>
        </w:rPr>
      </w:pPr>
    </w:p>
    <w:p>
      <w:pPr>
        <w:pStyle w:val="9"/>
        <w:rPr>
          <w:rFonts w:ascii="宋体" w:hAnsi="宋体"/>
          <w:b/>
          <w:kern w:val="0"/>
          <w:szCs w:val="21"/>
        </w:rPr>
      </w:pPr>
    </w:p>
    <w:p>
      <w:pPr>
        <w:pStyle w:val="9"/>
        <w:rPr>
          <w:rFonts w:ascii="宋体" w:hAnsi="宋体"/>
          <w:b/>
          <w:kern w:val="0"/>
          <w:szCs w:val="21"/>
        </w:rPr>
      </w:pPr>
    </w:p>
    <w:p>
      <w:pPr>
        <w:pStyle w:val="9"/>
        <w:rPr>
          <w:rFonts w:ascii="宋体" w:hAnsi="宋体"/>
          <w:b/>
          <w:kern w:val="0"/>
          <w:szCs w:val="21"/>
        </w:rPr>
      </w:pPr>
    </w:p>
    <w:p>
      <w:pPr>
        <w:pStyle w:val="9"/>
        <w:rPr>
          <w:rFonts w:ascii="宋体" w:hAnsi="宋体"/>
          <w:b/>
          <w:kern w:val="0"/>
          <w:szCs w:val="21"/>
        </w:rPr>
      </w:pPr>
    </w:p>
    <w:p>
      <w:pPr>
        <w:pStyle w:val="9"/>
        <w:rPr>
          <w:rFonts w:ascii="宋体" w:hAnsi="宋体"/>
          <w:b/>
          <w:kern w:val="0"/>
          <w:szCs w:val="21"/>
        </w:rPr>
      </w:pPr>
    </w:p>
    <w:p>
      <w:pPr>
        <w:jc w:val="center"/>
        <w:rPr>
          <w:rFonts w:ascii="宋体" w:hAnsi="宋体"/>
          <w:b/>
          <w:szCs w:val="21"/>
        </w:rPr>
      </w:pPr>
      <w:r>
        <w:rPr>
          <w:rFonts w:hint="eastAsia" w:ascii="宋体" w:hAnsi="宋体"/>
          <w:b/>
          <w:kern w:val="0"/>
          <w:szCs w:val="21"/>
        </w:rPr>
        <w:t>实质性要求响应表</w:t>
      </w:r>
    </w:p>
    <w:tbl>
      <w:tblPr>
        <w:tblStyle w:val="20"/>
        <w:tblW w:w="9536" w:type="dxa"/>
        <w:jc w:val="center"/>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63"/>
        <w:gridCol w:w="2598"/>
        <w:gridCol w:w="64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63" w:hRule="atLeast"/>
          <w:tblCellSpacing w:w="15" w:type="dxa"/>
          <w:jc w:val="center"/>
        </w:trPr>
        <w:tc>
          <w:tcPr>
            <w:tcW w:w="418"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序号</w:t>
            </w:r>
          </w:p>
        </w:tc>
        <w:tc>
          <w:tcPr>
            <w:tcW w:w="25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sz w:val="24"/>
              </w:rPr>
            </w:pPr>
            <w:r>
              <w:rPr>
                <w:rFonts w:hint="eastAsia"/>
              </w:rPr>
              <w:t>项目内容</w:t>
            </w:r>
          </w:p>
        </w:tc>
        <w:tc>
          <w:tcPr>
            <w:tcW w:w="643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sz w:val="24"/>
              </w:rPr>
            </w:pPr>
            <w:r>
              <w:rPr>
                <w:rFonts w:hint="eastAsia"/>
              </w:rPr>
              <w:t>具备的条件说明（要求）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791" w:hRule="atLeast"/>
          <w:tblCellSpacing w:w="15" w:type="dxa"/>
          <w:jc w:val="center"/>
        </w:trPr>
        <w:tc>
          <w:tcPr>
            <w:tcW w:w="418"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w:t>
            </w:r>
          </w:p>
        </w:tc>
        <w:tc>
          <w:tcPr>
            <w:tcW w:w="25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sz w:val="24"/>
              </w:rPr>
            </w:pPr>
            <w:r>
              <w:rPr>
                <w:rFonts w:hint="eastAsia"/>
              </w:rPr>
              <w:t>投标报价</w:t>
            </w:r>
          </w:p>
        </w:tc>
        <w:tc>
          <w:tcPr>
            <w:tcW w:w="6430" w:type="dxa"/>
            <w:tcBorders>
              <w:top w:val="outset" w:color="auto" w:sz="6" w:space="0"/>
              <w:left w:val="outset" w:color="auto" w:sz="6" w:space="0"/>
              <w:bottom w:val="outset" w:color="auto" w:sz="6" w:space="0"/>
              <w:right w:val="outset" w:color="auto" w:sz="6" w:space="0"/>
            </w:tcBorders>
            <w:vAlign w:val="center"/>
          </w:tcPr>
          <w:p>
            <w:pPr>
              <w:numPr>
                <w:ilvl w:val="0"/>
                <w:numId w:val="4"/>
              </w:numPr>
              <w:rPr>
                <w:highlight w:val="none"/>
              </w:rPr>
            </w:pPr>
            <w:r>
              <w:rPr>
                <w:rFonts w:hint="eastAsia"/>
                <w:highlight w:val="none"/>
              </w:rPr>
              <w:t>不得进行选择性报价（投标报价应是唯一的，竞争性磋商文件要求提供备选方案的除外）；</w:t>
            </w:r>
          </w:p>
          <w:p>
            <w:pPr>
              <w:numPr>
                <w:ilvl w:val="0"/>
                <w:numId w:val="4"/>
              </w:numPr>
              <w:rPr>
                <w:highlight w:val="none"/>
              </w:rPr>
            </w:pPr>
            <w:r>
              <w:rPr>
                <w:rFonts w:hint="eastAsia"/>
                <w:highlight w:val="none"/>
              </w:rPr>
              <w:t>不得进行可变的或者附有条件的投标报价；</w:t>
            </w:r>
          </w:p>
          <w:p>
            <w:pPr>
              <w:rPr>
                <w:rFonts w:ascii="宋体" w:hAnsi="宋体" w:cs="宋体"/>
                <w:sz w:val="24"/>
                <w:highlight w:val="none"/>
              </w:rPr>
            </w:pPr>
            <w:r>
              <w:rPr>
                <w:rFonts w:hint="eastAsia"/>
                <w:highlight w:val="none"/>
              </w:rPr>
              <w:t>3、投标报价不得超出竞争性磋商文件标明的采购预算金额或项目最高限价（</w:t>
            </w:r>
            <w:r>
              <w:rPr>
                <w:rFonts w:hint="eastAsia"/>
                <w:highlight w:val="none"/>
                <w:lang w:val="en-US" w:eastAsia="zh-CN"/>
              </w:rPr>
              <w:t>82.8086万</w:t>
            </w:r>
            <w:r>
              <w:rPr>
                <w:rFonts w:hint="eastAsia"/>
                <w:highlight w:val="none"/>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jc w:val="center"/>
        </w:trPr>
        <w:tc>
          <w:tcPr>
            <w:tcW w:w="418"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2</w:t>
            </w:r>
          </w:p>
        </w:tc>
        <w:tc>
          <w:tcPr>
            <w:tcW w:w="2568" w:type="dxa"/>
            <w:tcBorders>
              <w:top w:val="outset" w:color="auto" w:sz="6" w:space="0"/>
              <w:left w:val="outset" w:color="auto" w:sz="6" w:space="0"/>
              <w:bottom w:val="outset" w:color="auto" w:sz="6" w:space="0"/>
              <w:right w:val="outset" w:color="auto" w:sz="6" w:space="0"/>
            </w:tcBorders>
            <w:vAlign w:val="center"/>
          </w:tcPr>
          <w:p>
            <w:r>
              <w:rPr>
                <w:rFonts w:hint="eastAsia"/>
              </w:rPr>
              <w:t>安全防护、文明施工措施费</w:t>
            </w:r>
          </w:p>
        </w:tc>
        <w:tc>
          <w:tcPr>
            <w:tcW w:w="6430" w:type="dxa"/>
            <w:tcBorders>
              <w:top w:val="outset" w:color="auto" w:sz="6" w:space="0"/>
              <w:left w:val="outset" w:color="auto" w:sz="6" w:space="0"/>
              <w:bottom w:val="outset" w:color="auto" w:sz="6" w:space="0"/>
              <w:right w:val="outset" w:color="auto" w:sz="6" w:space="0"/>
            </w:tcBorders>
            <w:vAlign w:val="center"/>
          </w:tcPr>
          <w:p>
            <w:r>
              <w:rPr>
                <w:rFonts w:hint="eastAsia"/>
              </w:rPr>
              <w:t>是否满足磋商文件要求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90" w:hRule="atLeast"/>
          <w:tblCellSpacing w:w="15" w:type="dxa"/>
          <w:jc w:val="center"/>
        </w:trPr>
        <w:tc>
          <w:tcPr>
            <w:tcW w:w="418"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3</w:t>
            </w:r>
          </w:p>
        </w:tc>
        <w:tc>
          <w:tcPr>
            <w:tcW w:w="2568" w:type="dxa"/>
            <w:tcBorders>
              <w:top w:val="outset" w:color="auto" w:sz="6" w:space="0"/>
              <w:left w:val="outset" w:color="auto" w:sz="6" w:space="0"/>
              <w:bottom w:val="outset" w:color="auto" w:sz="6" w:space="0"/>
              <w:right w:val="outset" w:color="auto" w:sz="6" w:space="0"/>
            </w:tcBorders>
            <w:vAlign w:val="center"/>
          </w:tcPr>
          <w:p>
            <w:r>
              <w:rPr>
                <w:rFonts w:hint="eastAsia"/>
              </w:rPr>
              <w:t>工期、质量</w:t>
            </w:r>
          </w:p>
        </w:tc>
        <w:tc>
          <w:tcPr>
            <w:tcW w:w="6430" w:type="dxa"/>
            <w:tcBorders>
              <w:top w:val="outset" w:color="auto" w:sz="6" w:space="0"/>
              <w:left w:val="outset" w:color="auto" w:sz="6" w:space="0"/>
              <w:bottom w:val="outset" w:color="auto" w:sz="6" w:space="0"/>
              <w:right w:val="outset" w:color="auto" w:sz="6" w:space="0"/>
            </w:tcBorders>
            <w:vAlign w:val="center"/>
          </w:tcPr>
          <w:p>
            <w:pPr>
              <w:rPr>
                <w:highlight w:val="none"/>
              </w:rPr>
            </w:pPr>
            <w:r>
              <w:rPr>
                <w:rFonts w:hint="eastAsia"/>
                <w:highlight w:val="none"/>
              </w:rPr>
              <w:t>工期是否小于等于计划工期（</w:t>
            </w:r>
            <w:r>
              <w:rPr>
                <w:rFonts w:hint="eastAsia"/>
                <w:highlight w:val="none"/>
                <w:lang w:val="en-US" w:eastAsia="zh-CN"/>
              </w:rPr>
              <w:t>15</w:t>
            </w:r>
            <w:r>
              <w:rPr>
                <w:rFonts w:hint="eastAsia"/>
                <w:highlight w:val="none"/>
              </w:rPr>
              <w:t>日历天）；质量是否满足一次性验收合格率100%的要求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jc w:val="center"/>
        </w:trPr>
        <w:tc>
          <w:tcPr>
            <w:tcW w:w="418"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4</w:t>
            </w:r>
          </w:p>
        </w:tc>
        <w:tc>
          <w:tcPr>
            <w:tcW w:w="2568" w:type="dxa"/>
            <w:tcBorders>
              <w:top w:val="outset" w:color="auto" w:sz="6" w:space="0"/>
              <w:left w:val="outset" w:color="auto" w:sz="6" w:space="0"/>
              <w:bottom w:val="outset" w:color="auto" w:sz="6" w:space="0"/>
              <w:right w:val="outset" w:color="auto" w:sz="6" w:space="0"/>
            </w:tcBorders>
            <w:vAlign w:val="center"/>
          </w:tcPr>
          <w:p>
            <w:r>
              <w:rPr>
                <w:rFonts w:hint="eastAsia"/>
              </w:rPr>
              <w:t>投标有效期</w:t>
            </w:r>
          </w:p>
        </w:tc>
        <w:tc>
          <w:tcPr>
            <w:tcW w:w="6430" w:type="dxa"/>
            <w:tcBorders>
              <w:top w:val="outset" w:color="auto" w:sz="6" w:space="0"/>
              <w:left w:val="outset" w:color="auto" w:sz="6" w:space="0"/>
              <w:bottom w:val="outset" w:color="auto" w:sz="6" w:space="0"/>
              <w:right w:val="outset" w:color="auto" w:sz="6" w:space="0"/>
            </w:tcBorders>
            <w:vAlign w:val="center"/>
          </w:tcPr>
          <w:p>
            <w:r>
              <w:rPr>
                <w:rFonts w:hint="eastAsia"/>
              </w:rPr>
              <w:t>不少于90天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7" w:hRule="atLeast"/>
          <w:tblCellSpacing w:w="15" w:type="dxa"/>
          <w:jc w:val="center"/>
        </w:trPr>
        <w:tc>
          <w:tcPr>
            <w:tcW w:w="418"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5</w:t>
            </w:r>
          </w:p>
        </w:tc>
        <w:tc>
          <w:tcPr>
            <w:tcW w:w="2568"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360" w:lineRule="auto"/>
            </w:pPr>
            <w:r>
              <w:rPr>
                <w:rFonts w:hint="eastAsia" w:ascii="宋体" w:hAnsi="宋体" w:cs="宋体"/>
                <w:szCs w:val="21"/>
              </w:rPr>
              <w:t>竞争性磋商文件的实质性要求和条件</w:t>
            </w:r>
          </w:p>
        </w:tc>
        <w:tc>
          <w:tcPr>
            <w:tcW w:w="6430"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rPr>
                <w:rFonts w:ascii="宋体" w:hAnsi="宋体" w:cs="宋体"/>
                <w:szCs w:val="21"/>
              </w:rPr>
            </w:pPr>
            <w:r>
              <w:rPr>
                <w:rFonts w:hint="eastAsia" w:ascii="宋体" w:hAnsi="宋体" w:cs="宋体"/>
                <w:szCs w:val="21"/>
              </w:rPr>
              <w:t>1、应按竞争性磋商文件要求提交磋商保证金；</w:t>
            </w:r>
          </w:p>
          <w:p>
            <w:pPr>
              <w:spacing w:before="100" w:beforeAutospacing="1" w:after="100" w:afterAutospacing="1"/>
              <w:rPr>
                <w:rFonts w:ascii="宋体" w:hAnsi="宋体" w:cs="宋体"/>
                <w:szCs w:val="21"/>
              </w:rPr>
            </w:pPr>
            <w:r>
              <w:rPr>
                <w:rFonts w:hint="eastAsia" w:ascii="宋体" w:hAnsi="宋体" w:cs="宋体"/>
                <w:szCs w:val="21"/>
              </w:rPr>
              <w:t>2、不得改变暂估价、暂列金额或者工程量；</w:t>
            </w:r>
          </w:p>
          <w:p>
            <w:pPr>
              <w:spacing w:before="100" w:beforeAutospacing="1" w:after="100" w:afterAutospacing="1"/>
              <w:rPr>
                <w:rFonts w:ascii="宋体" w:hAnsi="宋体" w:cs="宋体"/>
                <w:szCs w:val="21"/>
              </w:rPr>
            </w:pPr>
            <w:r>
              <w:rPr>
                <w:rFonts w:hint="eastAsia" w:ascii="宋体" w:hAnsi="宋体" w:cs="宋体"/>
                <w:szCs w:val="21"/>
              </w:rPr>
              <w:t>3、规费、增值税应按照竞争性磋商文件规定费率计取；</w:t>
            </w:r>
          </w:p>
          <w:p>
            <w:pPr>
              <w:spacing w:before="100" w:beforeAutospacing="1" w:after="100" w:afterAutospacing="1"/>
              <w:rPr>
                <w:rFonts w:ascii="宋体" w:hAnsi="宋体" w:cs="宋体"/>
                <w:szCs w:val="21"/>
              </w:rPr>
            </w:pPr>
            <w:r>
              <w:rPr>
                <w:rFonts w:hint="eastAsia" w:ascii="宋体" w:hAnsi="宋体" w:cs="宋体"/>
                <w:szCs w:val="21"/>
              </w:rPr>
              <w:t>4、未有不符合国家或者招标文件规定的资格条件的承诺 ；</w:t>
            </w:r>
          </w:p>
          <w:p>
            <w:pPr>
              <w:spacing w:before="100" w:beforeAutospacing="1" w:after="100" w:afterAutospacing="1"/>
            </w:pPr>
            <w:r>
              <w:rPr>
                <w:rFonts w:hint="eastAsia" w:ascii="宋体" w:hAnsi="宋体" w:cs="宋体"/>
                <w:szCs w:val="21"/>
              </w:rPr>
              <w:t>5、磋商响应文件的有效期应满足竞争性磋商文件规定；</w:t>
            </w:r>
          </w:p>
        </w:tc>
      </w:tr>
    </w:tbl>
    <w:p>
      <w:pPr>
        <w:adjustRightInd w:val="0"/>
        <w:snapToGrid w:val="0"/>
        <w:spacing w:line="360" w:lineRule="auto"/>
        <w:rPr>
          <w:rFonts w:asciiTheme="minorEastAsia" w:hAnsiTheme="minorEastAsia" w:eastAsiaTheme="minorEastAsia" w:cstheme="minorEastAsia"/>
          <w:bCs/>
          <w:kern w:val="44"/>
          <w:szCs w:val="21"/>
        </w:rPr>
      </w:pPr>
    </w:p>
    <w:p>
      <w:pPr>
        <w:adjustRightInd w:val="0"/>
        <w:snapToGrid w:val="0"/>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（三）、投标无效情形</w:t>
      </w:r>
    </w:p>
    <w:p>
      <w:pPr>
        <w:adjustRightInd w:val="0"/>
        <w:snapToGrid w:val="0"/>
        <w:spacing w:line="360" w:lineRule="auto"/>
        <w:ind w:firstLine="420"/>
        <w:rPr>
          <w:rFonts w:ascii="宋体" w:hAnsi="宋体"/>
          <w:szCs w:val="21"/>
        </w:rPr>
      </w:pPr>
      <w:r>
        <w:rPr>
          <w:rFonts w:hint="eastAsia" w:ascii="宋体" w:hAnsi="宋体"/>
          <w:szCs w:val="21"/>
        </w:rPr>
        <w:t>1、竞争性磋商响应文件不符合《资格条件响应表》以及《实质性要求响应表》所列任何情形之一的，将被认定为无效投标。</w:t>
      </w:r>
    </w:p>
    <w:p>
      <w:pPr>
        <w:adjustRightInd w:val="0"/>
        <w:snapToGrid w:val="0"/>
        <w:spacing w:line="360" w:lineRule="auto"/>
        <w:ind w:firstLine="420"/>
        <w:rPr>
          <w:rFonts w:ascii="宋体" w:hAnsi="宋体"/>
          <w:szCs w:val="21"/>
        </w:rPr>
      </w:pPr>
      <w:r>
        <w:rPr>
          <w:rFonts w:hint="eastAsia" w:ascii="宋体" w:hAnsi="宋体"/>
          <w:szCs w:val="21"/>
        </w:rPr>
        <w:t>2、单位负责人或法定代表人为同一人，或者存在控股、管理关系的不同供应商，参加同一包件或者未划分包件的同一项目投标的，相关投标均无效。</w:t>
      </w:r>
    </w:p>
    <w:p>
      <w:pPr>
        <w:adjustRightInd w:val="0"/>
        <w:snapToGrid w:val="0"/>
        <w:spacing w:line="360" w:lineRule="auto"/>
        <w:ind w:firstLine="420"/>
        <w:rPr>
          <w:rFonts w:ascii="宋体" w:hAnsi="宋体"/>
          <w:szCs w:val="21"/>
        </w:rPr>
      </w:pPr>
      <w:r>
        <w:rPr>
          <w:rFonts w:hint="eastAsia" w:ascii="宋体" w:hAnsi="宋体"/>
          <w:szCs w:val="21"/>
        </w:rPr>
        <w:t>3、除上述以及政府采购法律法规、规章</w:t>
      </w:r>
      <w:r>
        <w:rPr>
          <w:rFonts w:hint="eastAsia" w:ascii="宋体" w:hAnsi="宋体"/>
          <w:kern w:val="0"/>
          <w:szCs w:val="21"/>
        </w:rPr>
        <w:t>、《供应商须知》</w:t>
      </w:r>
      <w:r>
        <w:rPr>
          <w:rFonts w:hint="eastAsia" w:ascii="宋体" w:hAnsi="宋体"/>
          <w:szCs w:val="21"/>
        </w:rPr>
        <w:t>所规定的投标无效情形外，竞争性磋商响应文件有其他不符合竞争性磋商文件要求的均作为评标时的考虑因素，而不导致投标无效。</w:t>
      </w:r>
    </w:p>
    <w:p>
      <w:pPr>
        <w:adjustRightInd w:val="0"/>
        <w:snapToGrid w:val="0"/>
        <w:spacing w:line="360" w:lineRule="auto"/>
        <w:ind w:firstLine="420"/>
        <w:rPr>
          <w:rFonts w:ascii="宋体" w:hAnsi="宋体"/>
          <w:b/>
          <w:szCs w:val="21"/>
        </w:rPr>
      </w:pPr>
      <w:r>
        <w:rPr>
          <w:rFonts w:hint="eastAsia" w:ascii="宋体" w:hAnsi="宋体"/>
          <w:szCs w:val="21"/>
        </w:rPr>
        <w:t>4、澄清有关问题。对竞争性磋商响应文件中含义不明确、同类问题表述不一致或者有明显文字和计算错误的内容，磋商小组应当以书面形式要求供应商作出必要的澄清、说明或者纠正。供应商的澄清、说明或者补正应当采用书面形式，由其授权的代表签字，不得超出竞争性磋商响应文件的范围或者改变竞争性磋商响应文件的实质性内容，也不得通过澄清而使进行澄清的供应商在评标中更加有利。</w:t>
      </w:r>
    </w:p>
    <w:p>
      <w:pPr>
        <w:spacing w:line="360" w:lineRule="auto"/>
        <w:jc w:val="center"/>
        <w:rPr>
          <w:rFonts w:ascii="宋体" w:hAnsi="宋体"/>
          <w:b/>
          <w:szCs w:val="21"/>
        </w:rPr>
      </w:pPr>
      <w:r>
        <w:rPr>
          <w:rFonts w:hint="eastAsia" w:ascii="宋体" w:hAnsi="宋体"/>
          <w:b/>
          <w:szCs w:val="21"/>
        </w:rPr>
        <w:t>投标评分细则（100分）</w:t>
      </w:r>
      <w:bookmarkStart w:id="136" w:name="评标办法"/>
      <w:bookmarkEnd w:id="136"/>
    </w:p>
    <w:p>
      <w:pPr>
        <w:snapToGrid w:val="0"/>
        <w:spacing w:line="360" w:lineRule="auto"/>
        <w:rPr>
          <w:rFonts w:asciiTheme="minorEastAsia" w:hAnsiTheme="minorEastAsia" w:eastAsiaTheme="minorEastAsia" w:cstheme="minorEastAsia"/>
          <w:bCs/>
          <w:kern w:val="44"/>
          <w:szCs w:val="21"/>
        </w:rPr>
      </w:pPr>
      <w:bookmarkStart w:id="137" w:name="_Toc344713510"/>
      <w:bookmarkStart w:id="138" w:name="_Toc347388888"/>
      <w:bookmarkStart w:id="139" w:name="_Toc329610185"/>
      <w:r>
        <w:rPr>
          <w:rFonts w:hint="eastAsia" w:asciiTheme="minorEastAsia" w:hAnsiTheme="minorEastAsia" w:eastAsiaTheme="minorEastAsia" w:cstheme="minorEastAsia"/>
          <w:bCs/>
          <w:kern w:val="44"/>
          <w:szCs w:val="21"/>
        </w:rPr>
        <w:t>1、商务标评审分值（30分）</w:t>
      </w:r>
    </w:p>
    <w:p>
      <w:pPr>
        <w:snapToGrid w:val="0"/>
        <w:spacing w:line="360" w:lineRule="auto"/>
        <w:ind w:firstLine="420" w:firstLineChars="200"/>
        <w:rPr>
          <w:rFonts w:asciiTheme="minorEastAsia" w:hAnsiTheme="minorEastAsia" w:eastAsiaTheme="minorEastAsia" w:cstheme="minorEastAsia"/>
          <w:bCs/>
          <w:szCs w:val="21"/>
        </w:rPr>
      </w:pPr>
      <w:bookmarkStart w:id="140" w:name="_Toc420323088"/>
      <w:r>
        <w:rPr>
          <w:rFonts w:hint="eastAsia" w:asciiTheme="minorEastAsia" w:hAnsiTheme="minorEastAsia" w:eastAsiaTheme="minorEastAsia" w:cstheme="minorEastAsia"/>
          <w:bCs/>
          <w:szCs w:val="21"/>
        </w:rPr>
        <w:t>按照《政府采购促进中小企业发展暂行办法》规定，本项目为非专门面向中小企业采购，对小型和微型企业响应单位产品的价格给予6%的扣除，用扣除后的价格参与评审。中小企业应当按照规定提供《中小企业声明函》。</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综合评分法中的价格分统一采用低价优先法计算，即满足磋商文件要求且最后报价最低的供应商的价格为磋商基准价，其价格分为满分30分。其他供应商的价格分统一按照下列公式计算：</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磋商报价得分=（磋商基准价/最后磋商报价）×30×100%。</w:t>
      </w:r>
    </w:p>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2、技术标评审分值(70分)</w:t>
      </w:r>
      <w:bookmarkEnd w:id="137"/>
      <w:bookmarkEnd w:id="138"/>
      <w:bookmarkEnd w:id="140"/>
    </w:p>
    <w:bookmarkEnd w:id="139"/>
    <w:tbl>
      <w:tblPr>
        <w:tblStyle w:val="20"/>
        <w:tblpPr w:leftFromText="180" w:rightFromText="180" w:vertAnchor="text" w:horzAnchor="page" w:tblpXSpec="center" w:tblpY="288"/>
        <w:tblOverlap w:val="never"/>
        <w:tblW w:w="9933" w:type="dxa"/>
        <w:jc w:val="center"/>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Layout w:type="fixed"/>
        <w:tblCellMar>
          <w:top w:w="0" w:type="dxa"/>
          <w:left w:w="0" w:type="dxa"/>
          <w:bottom w:w="0" w:type="dxa"/>
          <w:right w:w="0" w:type="dxa"/>
        </w:tblCellMar>
      </w:tblPr>
      <w:tblGrid>
        <w:gridCol w:w="1158"/>
        <w:gridCol w:w="1554"/>
        <w:gridCol w:w="1096"/>
        <w:gridCol w:w="4678"/>
        <w:gridCol w:w="1447"/>
      </w:tblGrid>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438" w:hRule="atLeast"/>
          <w:jc w:val="center"/>
        </w:trPr>
        <w:tc>
          <w:tcPr>
            <w:tcW w:w="9933" w:type="dxa"/>
            <w:gridSpan w:val="5"/>
            <w:tcBorders>
              <w:bottom w:val="single" w:color="000000" w:sz="6" w:space="0"/>
            </w:tcBorders>
            <w:vAlign w:val="center"/>
          </w:tcPr>
          <w:p>
            <w:pPr>
              <w:pStyle w:val="36"/>
              <w:spacing w:before="99"/>
              <w:ind w:left="4176" w:right="4045"/>
              <w:jc w:val="center"/>
              <w:rPr>
                <w:sz w:val="21"/>
              </w:rPr>
            </w:pPr>
            <w:r>
              <w:rPr>
                <w:sz w:val="21"/>
              </w:rPr>
              <w:t>评分因素与权重分值</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666" w:hRule="atLeast"/>
          <w:jc w:val="center"/>
        </w:trPr>
        <w:tc>
          <w:tcPr>
            <w:tcW w:w="1158" w:type="dxa"/>
            <w:tcBorders>
              <w:top w:val="single" w:color="000000" w:sz="6" w:space="0"/>
              <w:bottom w:val="single" w:color="000000" w:sz="6" w:space="0"/>
              <w:right w:val="single" w:color="000000" w:sz="6" w:space="0"/>
            </w:tcBorders>
            <w:vAlign w:val="center"/>
          </w:tcPr>
          <w:p>
            <w:pPr>
              <w:pStyle w:val="36"/>
              <w:spacing w:before="5"/>
              <w:jc w:val="both"/>
              <w:rPr>
                <w:sz w:val="15"/>
              </w:rPr>
            </w:pPr>
          </w:p>
          <w:p>
            <w:pPr>
              <w:pStyle w:val="36"/>
              <w:ind w:right="268" w:firstLine="210" w:firstLineChars="100"/>
              <w:jc w:val="both"/>
              <w:rPr>
                <w:sz w:val="21"/>
              </w:rPr>
            </w:pPr>
            <w:r>
              <w:rPr>
                <w:sz w:val="21"/>
              </w:rPr>
              <w:t>条款号</w:t>
            </w:r>
          </w:p>
        </w:tc>
        <w:tc>
          <w:tcPr>
            <w:tcW w:w="1554" w:type="dxa"/>
            <w:tcBorders>
              <w:top w:val="single" w:color="000000" w:sz="6" w:space="0"/>
              <w:left w:val="single" w:color="000000" w:sz="6" w:space="0"/>
              <w:bottom w:val="single" w:color="000000" w:sz="6" w:space="0"/>
              <w:right w:val="single" w:color="000000" w:sz="6" w:space="0"/>
            </w:tcBorders>
            <w:vAlign w:val="center"/>
          </w:tcPr>
          <w:p>
            <w:pPr>
              <w:pStyle w:val="36"/>
              <w:spacing w:before="5"/>
              <w:jc w:val="both"/>
              <w:rPr>
                <w:sz w:val="15"/>
              </w:rPr>
            </w:pPr>
          </w:p>
          <w:p>
            <w:pPr>
              <w:pStyle w:val="36"/>
              <w:ind w:left="362"/>
              <w:jc w:val="both"/>
              <w:rPr>
                <w:sz w:val="21"/>
              </w:rPr>
            </w:pPr>
            <w:r>
              <w:rPr>
                <w:sz w:val="21"/>
              </w:rPr>
              <w:t>评分因素</w:t>
            </w:r>
          </w:p>
        </w:tc>
        <w:tc>
          <w:tcPr>
            <w:tcW w:w="1096" w:type="dxa"/>
            <w:tcBorders>
              <w:top w:val="single" w:color="000000" w:sz="6" w:space="0"/>
              <w:left w:val="single" w:color="000000" w:sz="6" w:space="0"/>
              <w:bottom w:val="single" w:color="000000" w:sz="6" w:space="0"/>
              <w:right w:val="single" w:color="000000" w:sz="4" w:space="0"/>
            </w:tcBorders>
            <w:vAlign w:val="center"/>
          </w:tcPr>
          <w:p>
            <w:pPr>
              <w:pStyle w:val="36"/>
              <w:spacing w:before="32" w:line="300" w:lineRule="atLeast"/>
              <w:ind w:left="153" w:right="18"/>
              <w:jc w:val="both"/>
              <w:rPr>
                <w:sz w:val="21"/>
              </w:rPr>
            </w:pPr>
            <w:r>
              <w:rPr>
                <w:sz w:val="21"/>
              </w:rPr>
              <w:t>评分因素权重分值</w:t>
            </w:r>
          </w:p>
        </w:tc>
        <w:tc>
          <w:tcPr>
            <w:tcW w:w="4678" w:type="dxa"/>
            <w:tcBorders>
              <w:top w:val="single" w:color="000000" w:sz="6" w:space="0"/>
              <w:left w:val="single" w:color="000000" w:sz="4" w:space="0"/>
              <w:bottom w:val="single" w:color="000000" w:sz="6" w:space="0"/>
              <w:right w:val="single" w:color="000000" w:sz="4" w:space="0"/>
            </w:tcBorders>
            <w:vAlign w:val="center"/>
          </w:tcPr>
          <w:p>
            <w:pPr>
              <w:pStyle w:val="36"/>
              <w:spacing w:before="7"/>
              <w:jc w:val="both"/>
              <w:rPr>
                <w:sz w:val="16"/>
              </w:rPr>
            </w:pPr>
          </w:p>
          <w:p>
            <w:pPr>
              <w:pStyle w:val="36"/>
              <w:ind w:left="1508"/>
              <w:jc w:val="both"/>
              <w:rPr>
                <w:sz w:val="21"/>
              </w:rPr>
            </w:pPr>
            <w:r>
              <w:rPr>
                <w:sz w:val="21"/>
              </w:rPr>
              <w:t>各评分因素细分项</w:t>
            </w:r>
          </w:p>
        </w:tc>
        <w:tc>
          <w:tcPr>
            <w:tcW w:w="1447" w:type="dxa"/>
            <w:tcBorders>
              <w:top w:val="single" w:color="000000" w:sz="6" w:space="0"/>
              <w:left w:val="single" w:color="000000" w:sz="4" w:space="0"/>
              <w:bottom w:val="single" w:color="000000" w:sz="6" w:space="0"/>
            </w:tcBorders>
            <w:vAlign w:val="center"/>
          </w:tcPr>
          <w:p>
            <w:pPr>
              <w:pStyle w:val="36"/>
              <w:spacing w:before="7"/>
              <w:jc w:val="center"/>
              <w:rPr>
                <w:sz w:val="16"/>
              </w:rPr>
            </w:pPr>
          </w:p>
          <w:p>
            <w:pPr>
              <w:pStyle w:val="36"/>
              <w:ind w:right="172"/>
              <w:jc w:val="center"/>
              <w:rPr>
                <w:sz w:val="21"/>
              </w:rPr>
            </w:pPr>
            <w:r>
              <w:rPr>
                <w:sz w:val="21"/>
              </w:rPr>
              <w:t>评分标准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438" w:hRule="atLeast"/>
          <w:jc w:val="center"/>
        </w:trPr>
        <w:tc>
          <w:tcPr>
            <w:tcW w:w="1158" w:type="dxa"/>
            <w:vMerge w:val="restart"/>
            <w:tcBorders>
              <w:top w:val="single" w:color="000000" w:sz="6" w:space="0"/>
              <w:bottom w:val="single" w:color="000000" w:sz="6" w:space="0"/>
              <w:right w:val="single" w:color="000000" w:sz="6" w:space="0"/>
            </w:tcBorders>
            <w:vAlign w:val="center"/>
          </w:tcPr>
          <w:p>
            <w:pPr>
              <w:pStyle w:val="36"/>
              <w:jc w:val="both"/>
              <w:rPr>
                <w:sz w:val="20"/>
              </w:rPr>
            </w:pPr>
          </w:p>
          <w:p>
            <w:pPr>
              <w:pStyle w:val="36"/>
              <w:jc w:val="both"/>
              <w:rPr>
                <w:sz w:val="20"/>
              </w:rPr>
            </w:pPr>
          </w:p>
          <w:p>
            <w:pPr>
              <w:pStyle w:val="36"/>
              <w:jc w:val="both"/>
              <w:rPr>
                <w:sz w:val="20"/>
              </w:rPr>
            </w:pPr>
          </w:p>
          <w:p>
            <w:pPr>
              <w:pStyle w:val="36"/>
              <w:spacing w:before="1"/>
              <w:jc w:val="both"/>
              <w:rPr>
                <w:sz w:val="21"/>
                <w:lang w:val="en-US"/>
              </w:rPr>
            </w:pPr>
          </w:p>
          <w:p>
            <w:pPr>
              <w:pStyle w:val="36"/>
              <w:spacing w:before="1"/>
              <w:ind w:firstLine="630" w:firstLineChars="300"/>
              <w:jc w:val="both"/>
              <w:rPr>
                <w:sz w:val="21"/>
              </w:rPr>
            </w:pPr>
            <w:r>
              <w:rPr>
                <w:rFonts w:hint="eastAsia"/>
                <w:sz w:val="21"/>
                <w:lang w:val="en-US"/>
              </w:rPr>
              <w:t>1</w:t>
            </w:r>
          </w:p>
        </w:tc>
        <w:tc>
          <w:tcPr>
            <w:tcW w:w="1554" w:type="dxa"/>
            <w:vMerge w:val="restart"/>
            <w:tcBorders>
              <w:top w:val="single" w:color="000000" w:sz="6" w:space="0"/>
              <w:left w:val="single" w:color="000000" w:sz="6" w:space="0"/>
              <w:bottom w:val="single" w:color="000000" w:sz="6" w:space="0"/>
              <w:right w:val="single" w:color="000000" w:sz="6" w:space="0"/>
            </w:tcBorders>
            <w:vAlign w:val="center"/>
          </w:tcPr>
          <w:p>
            <w:pPr>
              <w:pStyle w:val="36"/>
              <w:jc w:val="both"/>
              <w:rPr>
                <w:sz w:val="20"/>
              </w:rPr>
            </w:pPr>
          </w:p>
          <w:p>
            <w:pPr>
              <w:pStyle w:val="36"/>
              <w:jc w:val="both"/>
              <w:rPr>
                <w:sz w:val="20"/>
              </w:rPr>
            </w:pPr>
          </w:p>
          <w:p>
            <w:pPr>
              <w:pStyle w:val="36"/>
              <w:jc w:val="both"/>
              <w:rPr>
                <w:sz w:val="20"/>
              </w:rPr>
            </w:pPr>
          </w:p>
          <w:p>
            <w:pPr>
              <w:pStyle w:val="36"/>
              <w:jc w:val="both"/>
              <w:rPr>
                <w:sz w:val="20"/>
              </w:rPr>
            </w:pPr>
          </w:p>
          <w:p>
            <w:pPr>
              <w:pStyle w:val="36"/>
              <w:spacing w:before="1"/>
              <w:ind w:firstLine="210" w:firstLineChars="100"/>
              <w:jc w:val="both"/>
              <w:rPr>
                <w:sz w:val="21"/>
              </w:rPr>
            </w:pPr>
            <w:r>
              <w:rPr>
                <w:sz w:val="21"/>
              </w:rPr>
              <w:t>施工组织设计</w:t>
            </w:r>
          </w:p>
        </w:tc>
        <w:tc>
          <w:tcPr>
            <w:tcW w:w="1096" w:type="dxa"/>
            <w:vMerge w:val="restart"/>
            <w:tcBorders>
              <w:top w:val="single" w:color="000000" w:sz="6" w:space="0"/>
              <w:left w:val="single" w:color="000000" w:sz="6" w:space="0"/>
              <w:bottom w:val="single" w:color="000000" w:sz="6" w:space="0"/>
              <w:right w:val="single" w:color="000000" w:sz="4" w:space="0"/>
            </w:tcBorders>
            <w:vAlign w:val="center"/>
          </w:tcPr>
          <w:p>
            <w:pPr>
              <w:pStyle w:val="36"/>
              <w:jc w:val="both"/>
              <w:rPr>
                <w:sz w:val="20"/>
              </w:rPr>
            </w:pPr>
          </w:p>
          <w:p>
            <w:pPr>
              <w:pStyle w:val="36"/>
              <w:jc w:val="both"/>
              <w:rPr>
                <w:sz w:val="20"/>
              </w:rPr>
            </w:pPr>
          </w:p>
          <w:p>
            <w:pPr>
              <w:pStyle w:val="36"/>
              <w:jc w:val="both"/>
              <w:rPr>
                <w:sz w:val="20"/>
              </w:rPr>
            </w:pPr>
          </w:p>
          <w:p>
            <w:pPr>
              <w:pStyle w:val="36"/>
              <w:jc w:val="both"/>
              <w:rPr>
                <w:sz w:val="20"/>
              </w:rPr>
            </w:pPr>
          </w:p>
          <w:p>
            <w:pPr>
              <w:pStyle w:val="36"/>
              <w:spacing w:before="1"/>
              <w:ind w:firstLine="420" w:firstLineChars="200"/>
              <w:jc w:val="both"/>
              <w:rPr>
                <w:sz w:val="21"/>
              </w:rPr>
            </w:pPr>
            <w:r>
              <w:rPr>
                <w:rFonts w:hint="eastAsia"/>
                <w:sz w:val="21"/>
                <w:lang w:val="en-US"/>
              </w:rPr>
              <w:t xml:space="preserve">45 </w:t>
            </w:r>
            <w:r>
              <w:rPr>
                <w:sz w:val="21"/>
              </w:rPr>
              <w:t>分</w:t>
            </w:r>
          </w:p>
        </w:tc>
        <w:tc>
          <w:tcPr>
            <w:tcW w:w="4678" w:type="dxa"/>
            <w:tcBorders>
              <w:top w:val="single" w:color="000000" w:sz="6" w:space="0"/>
              <w:left w:val="single" w:color="000000" w:sz="4" w:space="0"/>
              <w:bottom w:val="single" w:color="000000" w:sz="6" w:space="0"/>
              <w:right w:val="single" w:color="000000" w:sz="4" w:space="0"/>
            </w:tcBorders>
            <w:vAlign w:val="center"/>
          </w:tcPr>
          <w:p>
            <w:pPr>
              <w:pStyle w:val="36"/>
              <w:spacing w:before="99"/>
              <w:ind w:left="120"/>
              <w:jc w:val="both"/>
              <w:rPr>
                <w:sz w:val="21"/>
              </w:rPr>
            </w:pPr>
            <w:r>
              <w:rPr>
                <w:rFonts w:hint="eastAsia" w:asciiTheme="minorEastAsia" w:hAnsiTheme="minorEastAsia" w:eastAsiaTheme="minorEastAsia" w:cstheme="minorEastAsia"/>
                <w:bCs/>
                <w:szCs w:val="21"/>
              </w:rPr>
              <w:t>施工方案与技术措施，包括工程特点、重点与难点描述的准确性及相应针对性措施</w:t>
            </w:r>
            <w:r>
              <w:rPr>
                <w:rFonts w:hint="eastAsia" w:asciiTheme="minorEastAsia" w:hAnsiTheme="minorEastAsia" w:eastAsiaTheme="minorEastAsia" w:cstheme="minorEastAsia"/>
                <w:bCs/>
                <w:szCs w:val="21"/>
                <w:lang w:val="en-US"/>
              </w:rPr>
              <w:t xml:space="preserve"> </w:t>
            </w:r>
            <w:r>
              <w:rPr>
                <w:rFonts w:hint="eastAsia"/>
                <w:sz w:val="21"/>
                <w:lang w:val="en-US"/>
              </w:rPr>
              <w:t>6</w:t>
            </w:r>
            <w:r>
              <w:rPr>
                <w:sz w:val="21"/>
              </w:rPr>
              <w:t>～</w:t>
            </w:r>
            <w:r>
              <w:rPr>
                <w:rFonts w:hint="eastAsia"/>
                <w:sz w:val="21"/>
                <w:lang w:val="en-US"/>
              </w:rPr>
              <w:t>15</w:t>
            </w:r>
            <w:r>
              <w:rPr>
                <w:sz w:val="21"/>
              </w:rPr>
              <w:t xml:space="preserve"> 分</w:t>
            </w:r>
          </w:p>
        </w:tc>
        <w:tc>
          <w:tcPr>
            <w:tcW w:w="1447" w:type="dxa"/>
            <w:tcBorders>
              <w:top w:val="single" w:color="000000" w:sz="6" w:space="0"/>
              <w:left w:val="single" w:color="000000" w:sz="4" w:space="0"/>
              <w:bottom w:val="single" w:color="000000" w:sz="6" w:space="0"/>
            </w:tcBorders>
            <w:vAlign w:val="center"/>
          </w:tcPr>
          <w:p>
            <w:pPr>
              <w:pStyle w:val="36"/>
              <w:spacing w:before="82"/>
              <w:ind w:right="253"/>
              <w:jc w:val="center"/>
              <w:rPr>
                <w:sz w:val="21"/>
              </w:rPr>
            </w:pPr>
            <w:r>
              <w:rPr>
                <w:rFonts w:hint="eastAsia"/>
                <w:sz w:val="21"/>
                <w:lang w:val="en-US"/>
              </w:rPr>
              <w:t>6</w:t>
            </w:r>
            <w:r>
              <w:rPr>
                <w:sz w:val="21"/>
              </w:rPr>
              <w:t>～</w:t>
            </w:r>
            <w:r>
              <w:rPr>
                <w:rFonts w:hint="eastAsia"/>
                <w:sz w:val="21"/>
                <w:lang w:val="en-US"/>
              </w:rPr>
              <w:t>15</w:t>
            </w:r>
            <w:r>
              <w:rPr>
                <w:sz w:val="21"/>
              </w:rPr>
              <w:t xml:space="preserve"> 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664" w:hRule="atLeast"/>
          <w:jc w:val="center"/>
        </w:trPr>
        <w:tc>
          <w:tcPr>
            <w:tcW w:w="1158" w:type="dxa"/>
            <w:vMerge w:val="continue"/>
            <w:tcBorders>
              <w:top w:val="nil"/>
              <w:bottom w:val="single" w:color="000000" w:sz="6" w:space="0"/>
              <w:right w:val="single" w:color="000000" w:sz="6" w:space="0"/>
            </w:tcBorders>
            <w:vAlign w:val="center"/>
          </w:tcPr>
          <w:p>
            <w:pPr>
              <w:jc w:val="both"/>
              <w:rPr>
                <w:sz w:val="2"/>
                <w:szCs w:val="2"/>
              </w:rPr>
            </w:pPr>
          </w:p>
        </w:tc>
        <w:tc>
          <w:tcPr>
            <w:tcW w:w="1554" w:type="dxa"/>
            <w:vMerge w:val="continue"/>
            <w:tcBorders>
              <w:top w:val="nil"/>
              <w:left w:val="single" w:color="000000" w:sz="6" w:space="0"/>
              <w:bottom w:val="single" w:color="000000" w:sz="6" w:space="0"/>
              <w:right w:val="single" w:color="000000" w:sz="6" w:space="0"/>
            </w:tcBorders>
            <w:vAlign w:val="center"/>
          </w:tcPr>
          <w:p>
            <w:pPr>
              <w:jc w:val="both"/>
              <w:rPr>
                <w:sz w:val="2"/>
                <w:szCs w:val="2"/>
              </w:rPr>
            </w:pPr>
          </w:p>
        </w:tc>
        <w:tc>
          <w:tcPr>
            <w:tcW w:w="1096" w:type="dxa"/>
            <w:vMerge w:val="continue"/>
            <w:tcBorders>
              <w:top w:val="nil"/>
              <w:left w:val="single" w:color="000000" w:sz="6" w:space="0"/>
              <w:bottom w:val="single" w:color="000000" w:sz="6" w:space="0"/>
              <w:right w:val="single" w:color="000000" w:sz="4" w:space="0"/>
            </w:tcBorders>
            <w:vAlign w:val="center"/>
          </w:tcPr>
          <w:p>
            <w:pPr>
              <w:jc w:val="both"/>
              <w:rPr>
                <w:sz w:val="2"/>
                <w:szCs w:val="2"/>
              </w:rPr>
            </w:pPr>
          </w:p>
        </w:tc>
        <w:tc>
          <w:tcPr>
            <w:tcW w:w="4678" w:type="dxa"/>
            <w:tcBorders>
              <w:top w:val="single" w:color="000000" w:sz="6" w:space="0"/>
              <w:left w:val="single" w:color="000000" w:sz="4" w:space="0"/>
              <w:bottom w:val="single" w:color="000000" w:sz="6" w:space="0"/>
              <w:right w:val="single" w:color="000000" w:sz="4" w:space="0"/>
            </w:tcBorders>
            <w:vAlign w:val="center"/>
          </w:tcPr>
          <w:p>
            <w:pPr>
              <w:pStyle w:val="36"/>
              <w:spacing w:before="30" w:line="300" w:lineRule="atLeast"/>
              <w:ind w:left="120" w:right="88"/>
              <w:jc w:val="both"/>
              <w:rPr>
                <w:sz w:val="21"/>
              </w:rPr>
            </w:pPr>
            <w:r>
              <w:rPr>
                <w:rFonts w:hint="eastAsia" w:asciiTheme="minorEastAsia" w:hAnsiTheme="minorEastAsia" w:eastAsiaTheme="minorEastAsia" w:cstheme="minorEastAsia"/>
                <w:bCs/>
                <w:szCs w:val="21"/>
              </w:rPr>
              <w:t>施工总平面布置规划，包括施工现场总平面布置和临时用地布置</w:t>
            </w:r>
            <w:r>
              <w:rPr>
                <w:rFonts w:hint="eastAsia" w:asciiTheme="minorEastAsia" w:hAnsiTheme="minorEastAsia" w:eastAsiaTheme="minorEastAsia" w:cstheme="minorEastAsia"/>
                <w:bCs/>
                <w:szCs w:val="21"/>
                <w:lang w:val="en-US"/>
              </w:rPr>
              <w:t xml:space="preserve"> </w:t>
            </w:r>
            <w:r>
              <w:rPr>
                <w:rFonts w:hint="eastAsia"/>
                <w:sz w:val="21"/>
                <w:lang w:val="en-US"/>
              </w:rPr>
              <w:t>4</w:t>
            </w:r>
            <w:r>
              <w:rPr>
                <w:sz w:val="21"/>
              </w:rPr>
              <w:t>～</w:t>
            </w:r>
            <w:r>
              <w:rPr>
                <w:rFonts w:hint="eastAsia"/>
                <w:sz w:val="21"/>
                <w:lang w:val="en-US"/>
              </w:rPr>
              <w:t>9</w:t>
            </w:r>
            <w:r>
              <w:rPr>
                <w:sz w:val="21"/>
              </w:rPr>
              <w:t xml:space="preserve"> 分</w:t>
            </w:r>
          </w:p>
        </w:tc>
        <w:tc>
          <w:tcPr>
            <w:tcW w:w="1447" w:type="dxa"/>
            <w:tcBorders>
              <w:top w:val="single" w:color="000000" w:sz="6" w:space="0"/>
              <w:left w:val="single" w:color="000000" w:sz="4" w:space="0"/>
              <w:bottom w:val="single" w:color="000000" w:sz="6" w:space="0"/>
            </w:tcBorders>
            <w:vAlign w:val="center"/>
          </w:tcPr>
          <w:p>
            <w:pPr>
              <w:pStyle w:val="36"/>
              <w:spacing w:before="5"/>
              <w:ind w:firstLine="210" w:firstLineChars="100"/>
              <w:jc w:val="both"/>
              <w:rPr>
                <w:sz w:val="21"/>
              </w:rPr>
            </w:pPr>
            <w:r>
              <w:rPr>
                <w:rFonts w:hint="eastAsia"/>
                <w:sz w:val="21"/>
                <w:lang w:val="en-US"/>
              </w:rPr>
              <w:t>4</w:t>
            </w:r>
            <w:r>
              <w:rPr>
                <w:sz w:val="21"/>
              </w:rPr>
              <w:t>～</w:t>
            </w:r>
            <w:r>
              <w:rPr>
                <w:rFonts w:hint="eastAsia"/>
                <w:sz w:val="21"/>
                <w:lang w:val="en-US"/>
              </w:rPr>
              <w:t>9</w:t>
            </w:r>
            <w:r>
              <w:rPr>
                <w:sz w:val="21"/>
              </w:rPr>
              <w:t xml:space="preserve"> 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438" w:hRule="atLeast"/>
          <w:jc w:val="center"/>
        </w:trPr>
        <w:tc>
          <w:tcPr>
            <w:tcW w:w="1158" w:type="dxa"/>
            <w:vMerge w:val="continue"/>
            <w:tcBorders>
              <w:top w:val="nil"/>
              <w:bottom w:val="single" w:color="000000" w:sz="6" w:space="0"/>
              <w:right w:val="single" w:color="000000" w:sz="6" w:space="0"/>
            </w:tcBorders>
            <w:vAlign w:val="center"/>
          </w:tcPr>
          <w:p>
            <w:pPr>
              <w:jc w:val="both"/>
              <w:rPr>
                <w:sz w:val="2"/>
                <w:szCs w:val="2"/>
              </w:rPr>
            </w:pPr>
          </w:p>
        </w:tc>
        <w:tc>
          <w:tcPr>
            <w:tcW w:w="1554" w:type="dxa"/>
            <w:vMerge w:val="continue"/>
            <w:tcBorders>
              <w:top w:val="nil"/>
              <w:left w:val="single" w:color="000000" w:sz="6" w:space="0"/>
              <w:bottom w:val="single" w:color="000000" w:sz="6" w:space="0"/>
              <w:right w:val="single" w:color="000000" w:sz="6" w:space="0"/>
            </w:tcBorders>
            <w:vAlign w:val="center"/>
          </w:tcPr>
          <w:p>
            <w:pPr>
              <w:jc w:val="both"/>
              <w:rPr>
                <w:sz w:val="2"/>
                <w:szCs w:val="2"/>
              </w:rPr>
            </w:pPr>
          </w:p>
        </w:tc>
        <w:tc>
          <w:tcPr>
            <w:tcW w:w="1096" w:type="dxa"/>
            <w:vMerge w:val="continue"/>
            <w:tcBorders>
              <w:top w:val="nil"/>
              <w:left w:val="single" w:color="000000" w:sz="6" w:space="0"/>
              <w:bottom w:val="single" w:color="000000" w:sz="6" w:space="0"/>
              <w:right w:val="single" w:color="000000" w:sz="4" w:space="0"/>
            </w:tcBorders>
            <w:vAlign w:val="center"/>
          </w:tcPr>
          <w:p>
            <w:pPr>
              <w:jc w:val="both"/>
              <w:rPr>
                <w:sz w:val="2"/>
                <w:szCs w:val="2"/>
              </w:rPr>
            </w:pPr>
          </w:p>
        </w:tc>
        <w:tc>
          <w:tcPr>
            <w:tcW w:w="4678" w:type="dxa"/>
            <w:tcBorders>
              <w:top w:val="single" w:color="000000" w:sz="6" w:space="0"/>
              <w:left w:val="single" w:color="000000" w:sz="4" w:space="0"/>
              <w:bottom w:val="single" w:color="000000" w:sz="6" w:space="0"/>
              <w:right w:val="single" w:color="000000" w:sz="4" w:space="0"/>
            </w:tcBorders>
            <w:vAlign w:val="center"/>
          </w:tcPr>
          <w:p>
            <w:pPr>
              <w:pStyle w:val="36"/>
              <w:spacing w:before="99"/>
              <w:ind w:left="120"/>
              <w:jc w:val="both"/>
              <w:rPr>
                <w:sz w:val="21"/>
              </w:rPr>
            </w:pPr>
            <w:r>
              <w:rPr>
                <w:rFonts w:hint="eastAsia" w:asciiTheme="minorEastAsia" w:hAnsiTheme="minorEastAsia" w:eastAsiaTheme="minorEastAsia" w:cstheme="minorEastAsia"/>
                <w:bCs/>
                <w:szCs w:val="21"/>
              </w:rPr>
              <w:t>质量、安全、文明施工保证措施及环境保护管理体系</w:t>
            </w:r>
            <w:r>
              <w:rPr>
                <w:rFonts w:hint="eastAsia" w:asciiTheme="minorEastAsia" w:hAnsiTheme="minorEastAsia" w:eastAsiaTheme="minorEastAsia" w:cstheme="minorEastAsia"/>
                <w:bCs/>
                <w:szCs w:val="21"/>
                <w:lang w:val="en-US"/>
              </w:rPr>
              <w:t xml:space="preserve"> </w:t>
            </w:r>
            <w:r>
              <w:rPr>
                <w:sz w:val="21"/>
              </w:rPr>
              <w:t>3～</w:t>
            </w:r>
            <w:r>
              <w:rPr>
                <w:rFonts w:hint="eastAsia"/>
                <w:sz w:val="21"/>
                <w:lang w:val="en-US"/>
              </w:rPr>
              <w:t>6</w:t>
            </w:r>
            <w:r>
              <w:rPr>
                <w:sz w:val="21"/>
              </w:rPr>
              <w:t xml:space="preserve"> 分</w:t>
            </w:r>
          </w:p>
        </w:tc>
        <w:tc>
          <w:tcPr>
            <w:tcW w:w="1447" w:type="dxa"/>
            <w:tcBorders>
              <w:top w:val="single" w:color="000000" w:sz="6" w:space="0"/>
              <w:left w:val="single" w:color="000000" w:sz="4" w:space="0"/>
              <w:bottom w:val="single" w:color="000000" w:sz="6" w:space="0"/>
            </w:tcBorders>
            <w:vAlign w:val="center"/>
          </w:tcPr>
          <w:p>
            <w:pPr>
              <w:pStyle w:val="36"/>
              <w:spacing w:before="85"/>
              <w:ind w:right="253"/>
              <w:jc w:val="center"/>
              <w:rPr>
                <w:sz w:val="21"/>
              </w:rPr>
            </w:pPr>
            <w:r>
              <w:rPr>
                <w:sz w:val="21"/>
              </w:rPr>
              <w:t>3～</w:t>
            </w:r>
            <w:r>
              <w:rPr>
                <w:rFonts w:hint="eastAsia"/>
                <w:sz w:val="21"/>
                <w:lang w:val="en-US"/>
              </w:rPr>
              <w:t>6</w:t>
            </w:r>
            <w:r>
              <w:rPr>
                <w:sz w:val="21"/>
              </w:rPr>
              <w:t xml:space="preserve"> 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438" w:hRule="atLeast"/>
          <w:jc w:val="center"/>
        </w:trPr>
        <w:tc>
          <w:tcPr>
            <w:tcW w:w="1158" w:type="dxa"/>
            <w:vMerge w:val="continue"/>
            <w:tcBorders>
              <w:top w:val="nil"/>
              <w:bottom w:val="single" w:color="000000" w:sz="6" w:space="0"/>
              <w:right w:val="single" w:color="000000" w:sz="6" w:space="0"/>
            </w:tcBorders>
            <w:vAlign w:val="center"/>
          </w:tcPr>
          <w:p>
            <w:pPr>
              <w:jc w:val="both"/>
              <w:rPr>
                <w:sz w:val="2"/>
                <w:szCs w:val="2"/>
              </w:rPr>
            </w:pPr>
          </w:p>
        </w:tc>
        <w:tc>
          <w:tcPr>
            <w:tcW w:w="1554" w:type="dxa"/>
            <w:vMerge w:val="continue"/>
            <w:tcBorders>
              <w:top w:val="nil"/>
              <w:left w:val="single" w:color="000000" w:sz="6" w:space="0"/>
              <w:bottom w:val="single" w:color="000000" w:sz="6" w:space="0"/>
              <w:right w:val="single" w:color="000000" w:sz="6" w:space="0"/>
            </w:tcBorders>
            <w:vAlign w:val="center"/>
          </w:tcPr>
          <w:p>
            <w:pPr>
              <w:jc w:val="both"/>
              <w:rPr>
                <w:sz w:val="2"/>
                <w:szCs w:val="2"/>
              </w:rPr>
            </w:pPr>
          </w:p>
        </w:tc>
        <w:tc>
          <w:tcPr>
            <w:tcW w:w="1096" w:type="dxa"/>
            <w:vMerge w:val="continue"/>
            <w:tcBorders>
              <w:top w:val="nil"/>
              <w:left w:val="single" w:color="000000" w:sz="6" w:space="0"/>
              <w:bottom w:val="single" w:color="000000" w:sz="6" w:space="0"/>
              <w:right w:val="single" w:color="000000" w:sz="4" w:space="0"/>
            </w:tcBorders>
            <w:vAlign w:val="center"/>
          </w:tcPr>
          <w:p>
            <w:pPr>
              <w:jc w:val="both"/>
              <w:rPr>
                <w:sz w:val="2"/>
                <w:szCs w:val="2"/>
              </w:rPr>
            </w:pPr>
          </w:p>
        </w:tc>
        <w:tc>
          <w:tcPr>
            <w:tcW w:w="4678" w:type="dxa"/>
            <w:tcBorders>
              <w:top w:val="single" w:color="000000" w:sz="6" w:space="0"/>
              <w:left w:val="single" w:color="000000" w:sz="4" w:space="0"/>
              <w:bottom w:val="single" w:color="000000" w:sz="6" w:space="0"/>
              <w:right w:val="single" w:color="000000" w:sz="4" w:space="0"/>
            </w:tcBorders>
            <w:vAlign w:val="center"/>
          </w:tcPr>
          <w:p>
            <w:pPr>
              <w:pStyle w:val="36"/>
              <w:spacing w:before="99"/>
              <w:ind w:left="120"/>
              <w:jc w:val="both"/>
              <w:rPr>
                <w:sz w:val="21"/>
              </w:rPr>
            </w:pPr>
            <w:r>
              <w:rPr>
                <w:rFonts w:hint="eastAsia" w:asciiTheme="minorEastAsia" w:hAnsiTheme="minorEastAsia" w:eastAsiaTheme="minorEastAsia" w:cstheme="minorEastAsia"/>
                <w:bCs/>
                <w:szCs w:val="21"/>
              </w:rPr>
              <w:t>施工总进度计划及保证措施</w:t>
            </w:r>
            <w:r>
              <w:rPr>
                <w:rFonts w:hint="eastAsia" w:asciiTheme="minorEastAsia" w:hAnsiTheme="minorEastAsia" w:eastAsiaTheme="minorEastAsia" w:cstheme="minorEastAsia"/>
                <w:bCs/>
                <w:szCs w:val="21"/>
                <w:lang w:val="en-US"/>
              </w:rPr>
              <w:t xml:space="preserve"> </w:t>
            </w:r>
            <w:r>
              <w:rPr>
                <w:sz w:val="21"/>
              </w:rPr>
              <w:t>3～</w:t>
            </w:r>
            <w:r>
              <w:rPr>
                <w:rFonts w:hint="eastAsia"/>
                <w:sz w:val="21"/>
                <w:lang w:val="en-US"/>
              </w:rPr>
              <w:t>6</w:t>
            </w:r>
            <w:r>
              <w:rPr>
                <w:sz w:val="21"/>
              </w:rPr>
              <w:t xml:space="preserve"> 分</w:t>
            </w:r>
          </w:p>
        </w:tc>
        <w:tc>
          <w:tcPr>
            <w:tcW w:w="1447" w:type="dxa"/>
            <w:tcBorders>
              <w:top w:val="single" w:color="000000" w:sz="6" w:space="0"/>
              <w:left w:val="single" w:color="000000" w:sz="4" w:space="0"/>
              <w:bottom w:val="single" w:color="000000" w:sz="6" w:space="0"/>
            </w:tcBorders>
            <w:vAlign w:val="center"/>
          </w:tcPr>
          <w:p>
            <w:pPr>
              <w:pStyle w:val="36"/>
              <w:spacing w:before="85"/>
              <w:ind w:right="253"/>
              <w:jc w:val="center"/>
              <w:rPr>
                <w:sz w:val="21"/>
              </w:rPr>
            </w:pPr>
            <w:r>
              <w:rPr>
                <w:sz w:val="21"/>
              </w:rPr>
              <w:t>3～</w:t>
            </w:r>
            <w:r>
              <w:rPr>
                <w:rFonts w:hint="eastAsia"/>
                <w:sz w:val="21"/>
                <w:lang w:val="en-US"/>
              </w:rPr>
              <w:t>6</w:t>
            </w:r>
            <w:r>
              <w:rPr>
                <w:sz w:val="21"/>
              </w:rPr>
              <w:t xml:space="preserve"> 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441" w:hRule="atLeast"/>
          <w:jc w:val="center"/>
        </w:trPr>
        <w:tc>
          <w:tcPr>
            <w:tcW w:w="1158" w:type="dxa"/>
            <w:vMerge w:val="continue"/>
            <w:tcBorders>
              <w:top w:val="nil"/>
              <w:bottom w:val="single" w:color="000000" w:sz="6" w:space="0"/>
              <w:right w:val="single" w:color="000000" w:sz="6" w:space="0"/>
            </w:tcBorders>
            <w:vAlign w:val="center"/>
          </w:tcPr>
          <w:p>
            <w:pPr>
              <w:jc w:val="both"/>
              <w:rPr>
                <w:sz w:val="2"/>
                <w:szCs w:val="2"/>
              </w:rPr>
            </w:pPr>
          </w:p>
        </w:tc>
        <w:tc>
          <w:tcPr>
            <w:tcW w:w="1554" w:type="dxa"/>
            <w:vMerge w:val="continue"/>
            <w:tcBorders>
              <w:top w:val="nil"/>
              <w:left w:val="single" w:color="000000" w:sz="6" w:space="0"/>
              <w:bottom w:val="single" w:color="000000" w:sz="6" w:space="0"/>
              <w:right w:val="single" w:color="000000" w:sz="6" w:space="0"/>
            </w:tcBorders>
            <w:vAlign w:val="center"/>
          </w:tcPr>
          <w:p>
            <w:pPr>
              <w:jc w:val="both"/>
              <w:rPr>
                <w:sz w:val="2"/>
                <w:szCs w:val="2"/>
              </w:rPr>
            </w:pPr>
          </w:p>
        </w:tc>
        <w:tc>
          <w:tcPr>
            <w:tcW w:w="1096" w:type="dxa"/>
            <w:vMerge w:val="continue"/>
            <w:tcBorders>
              <w:top w:val="nil"/>
              <w:left w:val="single" w:color="000000" w:sz="6" w:space="0"/>
              <w:bottom w:val="single" w:color="000000" w:sz="6" w:space="0"/>
              <w:right w:val="single" w:color="000000" w:sz="4" w:space="0"/>
            </w:tcBorders>
            <w:vAlign w:val="center"/>
          </w:tcPr>
          <w:p>
            <w:pPr>
              <w:jc w:val="both"/>
              <w:rPr>
                <w:sz w:val="2"/>
                <w:szCs w:val="2"/>
              </w:rPr>
            </w:pPr>
          </w:p>
        </w:tc>
        <w:tc>
          <w:tcPr>
            <w:tcW w:w="4678" w:type="dxa"/>
            <w:tcBorders>
              <w:top w:val="single" w:color="000000" w:sz="6" w:space="0"/>
              <w:left w:val="single" w:color="000000" w:sz="4" w:space="0"/>
              <w:bottom w:val="single" w:color="000000" w:sz="6" w:space="0"/>
              <w:right w:val="single" w:color="000000" w:sz="4" w:space="0"/>
            </w:tcBorders>
            <w:vAlign w:val="center"/>
          </w:tcPr>
          <w:p>
            <w:pPr>
              <w:pStyle w:val="36"/>
              <w:spacing w:before="101"/>
              <w:ind w:left="120"/>
              <w:jc w:val="both"/>
              <w:rPr>
                <w:sz w:val="21"/>
              </w:rPr>
            </w:pPr>
            <w:r>
              <w:rPr>
                <w:rFonts w:hint="eastAsia" w:asciiTheme="minorEastAsia" w:hAnsiTheme="minorEastAsia" w:eastAsiaTheme="minorEastAsia" w:cstheme="minorEastAsia"/>
                <w:bCs/>
                <w:szCs w:val="21"/>
              </w:rPr>
              <w:t>资源配置计划，包括主要施工设备、检测试验和仪表设备、主要材料及劳动力计划</w:t>
            </w:r>
            <w:r>
              <w:rPr>
                <w:rFonts w:hint="eastAsia" w:asciiTheme="minorEastAsia" w:hAnsiTheme="minorEastAsia" w:eastAsiaTheme="minorEastAsia" w:cstheme="minorEastAsia"/>
                <w:bCs/>
                <w:szCs w:val="21"/>
                <w:lang w:val="en-US"/>
              </w:rPr>
              <w:t xml:space="preserve"> </w:t>
            </w:r>
            <w:r>
              <w:rPr>
                <w:sz w:val="21"/>
              </w:rPr>
              <w:t>2～3 分</w:t>
            </w:r>
          </w:p>
        </w:tc>
        <w:tc>
          <w:tcPr>
            <w:tcW w:w="1447" w:type="dxa"/>
            <w:tcBorders>
              <w:top w:val="single" w:color="000000" w:sz="6" w:space="0"/>
              <w:left w:val="single" w:color="000000" w:sz="4" w:space="0"/>
              <w:bottom w:val="single" w:color="000000" w:sz="6" w:space="0"/>
            </w:tcBorders>
            <w:vAlign w:val="center"/>
          </w:tcPr>
          <w:p>
            <w:pPr>
              <w:pStyle w:val="36"/>
              <w:spacing w:before="85"/>
              <w:ind w:right="253"/>
              <w:jc w:val="center"/>
              <w:rPr>
                <w:sz w:val="21"/>
              </w:rPr>
            </w:pPr>
            <w:r>
              <w:rPr>
                <w:sz w:val="21"/>
              </w:rPr>
              <w:t>2～3 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438" w:hRule="atLeast"/>
          <w:jc w:val="center"/>
        </w:trPr>
        <w:tc>
          <w:tcPr>
            <w:tcW w:w="1158" w:type="dxa"/>
            <w:vMerge w:val="continue"/>
            <w:tcBorders>
              <w:top w:val="nil"/>
              <w:bottom w:val="single" w:color="000000" w:sz="6" w:space="0"/>
              <w:right w:val="single" w:color="000000" w:sz="6" w:space="0"/>
            </w:tcBorders>
            <w:vAlign w:val="center"/>
          </w:tcPr>
          <w:p>
            <w:pPr>
              <w:jc w:val="both"/>
              <w:rPr>
                <w:sz w:val="2"/>
                <w:szCs w:val="2"/>
              </w:rPr>
            </w:pPr>
          </w:p>
        </w:tc>
        <w:tc>
          <w:tcPr>
            <w:tcW w:w="1554" w:type="dxa"/>
            <w:vMerge w:val="continue"/>
            <w:tcBorders>
              <w:top w:val="nil"/>
              <w:left w:val="single" w:color="000000" w:sz="6" w:space="0"/>
              <w:bottom w:val="single" w:color="000000" w:sz="6" w:space="0"/>
              <w:right w:val="single" w:color="000000" w:sz="6" w:space="0"/>
            </w:tcBorders>
            <w:vAlign w:val="center"/>
          </w:tcPr>
          <w:p>
            <w:pPr>
              <w:jc w:val="both"/>
              <w:rPr>
                <w:sz w:val="2"/>
                <w:szCs w:val="2"/>
              </w:rPr>
            </w:pPr>
          </w:p>
        </w:tc>
        <w:tc>
          <w:tcPr>
            <w:tcW w:w="1096" w:type="dxa"/>
            <w:vMerge w:val="continue"/>
            <w:tcBorders>
              <w:top w:val="nil"/>
              <w:left w:val="single" w:color="000000" w:sz="6" w:space="0"/>
              <w:bottom w:val="single" w:color="000000" w:sz="6" w:space="0"/>
              <w:right w:val="single" w:color="000000" w:sz="4" w:space="0"/>
            </w:tcBorders>
            <w:vAlign w:val="center"/>
          </w:tcPr>
          <w:p>
            <w:pPr>
              <w:jc w:val="both"/>
              <w:rPr>
                <w:sz w:val="2"/>
                <w:szCs w:val="2"/>
              </w:rPr>
            </w:pPr>
          </w:p>
        </w:tc>
        <w:tc>
          <w:tcPr>
            <w:tcW w:w="4678" w:type="dxa"/>
            <w:tcBorders>
              <w:top w:val="single" w:color="000000" w:sz="6" w:space="0"/>
              <w:left w:val="single" w:color="000000" w:sz="4" w:space="0"/>
              <w:bottom w:val="single" w:color="000000" w:sz="6" w:space="0"/>
              <w:right w:val="single" w:color="000000" w:sz="4" w:space="0"/>
            </w:tcBorders>
            <w:vAlign w:val="center"/>
          </w:tcPr>
          <w:p>
            <w:pPr>
              <w:pStyle w:val="36"/>
              <w:spacing w:before="99"/>
              <w:ind w:left="120"/>
              <w:jc w:val="both"/>
              <w:rPr>
                <w:sz w:val="21"/>
              </w:rPr>
            </w:pPr>
            <w:r>
              <w:rPr>
                <w:rFonts w:hint="eastAsia" w:asciiTheme="minorEastAsia" w:hAnsiTheme="minorEastAsia" w:eastAsiaTheme="minorEastAsia" w:cstheme="minorEastAsia"/>
                <w:bCs/>
                <w:szCs w:val="21"/>
              </w:rPr>
              <w:t>对重大危险源的识别分析管理措施；特殊气候条件下的施工方案；经济情况的处理措施、预案以及抵抗风险的措施；成品保护和工程保修工作的管理措施和承诺</w:t>
            </w:r>
            <w:r>
              <w:rPr>
                <w:rFonts w:hint="eastAsia" w:asciiTheme="minorEastAsia" w:hAnsiTheme="minorEastAsia" w:eastAsiaTheme="minorEastAsia" w:cstheme="minorEastAsia"/>
                <w:bCs/>
                <w:szCs w:val="21"/>
                <w:lang w:val="en-US"/>
              </w:rPr>
              <w:t xml:space="preserve"> </w:t>
            </w:r>
            <w:r>
              <w:rPr>
                <w:rFonts w:hint="eastAsia"/>
                <w:sz w:val="21"/>
                <w:lang w:val="en-US"/>
              </w:rPr>
              <w:t>3</w:t>
            </w:r>
            <w:r>
              <w:rPr>
                <w:sz w:val="21"/>
              </w:rPr>
              <w:t>～</w:t>
            </w:r>
            <w:r>
              <w:rPr>
                <w:rFonts w:hint="eastAsia"/>
                <w:sz w:val="21"/>
                <w:lang w:val="en-US"/>
              </w:rPr>
              <w:t>6</w:t>
            </w:r>
            <w:r>
              <w:rPr>
                <w:sz w:val="21"/>
              </w:rPr>
              <w:t xml:space="preserve"> 分</w:t>
            </w:r>
          </w:p>
        </w:tc>
        <w:tc>
          <w:tcPr>
            <w:tcW w:w="1447" w:type="dxa"/>
            <w:tcBorders>
              <w:top w:val="single" w:color="000000" w:sz="6" w:space="0"/>
              <w:left w:val="single" w:color="000000" w:sz="4" w:space="0"/>
              <w:bottom w:val="single" w:color="000000" w:sz="6" w:space="0"/>
            </w:tcBorders>
            <w:vAlign w:val="center"/>
          </w:tcPr>
          <w:p>
            <w:pPr>
              <w:pStyle w:val="36"/>
              <w:spacing w:before="82"/>
              <w:ind w:right="253"/>
              <w:jc w:val="center"/>
              <w:rPr>
                <w:sz w:val="21"/>
              </w:rPr>
            </w:pPr>
            <w:r>
              <w:rPr>
                <w:rFonts w:hint="eastAsia"/>
                <w:sz w:val="21"/>
                <w:lang w:val="en-US"/>
              </w:rPr>
              <w:t>3</w:t>
            </w:r>
            <w:r>
              <w:rPr>
                <w:sz w:val="21"/>
              </w:rPr>
              <w:t>～</w:t>
            </w:r>
            <w:r>
              <w:rPr>
                <w:rFonts w:hint="eastAsia"/>
                <w:sz w:val="21"/>
                <w:lang w:val="en-US"/>
              </w:rPr>
              <w:t>6</w:t>
            </w:r>
            <w:r>
              <w:rPr>
                <w:sz w:val="21"/>
              </w:rPr>
              <w:t xml:space="preserve"> 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438" w:hRule="atLeast"/>
          <w:jc w:val="center"/>
        </w:trPr>
        <w:tc>
          <w:tcPr>
            <w:tcW w:w="1158" w:type="dxa"/>
            <w:vMerge w:val="restart"/>
            <w:tcBorders>
              <w:top w:val="single" w:color="000000" w:sz="6" w:space="0"/>
              <w:bottom w:val="single" w:color="000000" w:sz="6" w:space="0"/>
              <w:right w:val="single" w:color="000000" w:sz="6" w:space="0"/>
            </w:tcBorders>
            <w:vAlign w:val="center"/>
          </w:tcPr>
          <w:p>
            <w:pPr>
              <w:pStyle w:val="36"/>
              <w:ind w:firstLine="630" w:firstLineChars="300"/>
              <w:jc w:val="both"/>
              <w:rPr>
                <w:sz w:val="21"/>
              </w:rPr>
            </w:pPr>
            <w:r>
              <w:rPr>
                <w:rFonts w:hint="eastAsia"/>
                <w:sz w:val="21"/>
                <w:lang w:val="en-US"/>
              </w:rPr>
              <w:t>2</w:t>
            </w:r>
          </w:p>
        </w:tc>
        <w:tc>
          <w:tcPr>
            <w:tcW w:w="1554" w:type="dxa"/>
            <w:vMerge w:val="restart"/>
            <w:tcBorders>
              <w:top w:val="single" w:color="000000" w:sz="6" w:space="0"/>
              <w:left w:val="single" w:color="000000" w:sz="6" w:space="0"/>
              <w:bottom w:val="single" w:color="000000" w:sz="6" w:space="0"/>
              <w:right w:val="single" w:color="000000" w:sz="6" w:space="0"/>
            </w:tcBorders>
            <w:vAlign w:val="center"/>
          </w:tcPr>
          <w:p>
            <w:pPr>
              <w:pStyle w:val="36"/>
              <w:ind w:firstLine="420" w:firstLineChars="200"/>
              <w:jc w:val="both"/>
              <w:rPr>
                <w:sz w:val="21"/>
              </w:rPr>
            </w:pPr>
            <w:r>
              <w:rPr>
                <w:sz w:val="21"/>
              </w:rPr>
              <w:t>主要人员</w:t>
            </w:r>
          </w:p>
        </w:tc>
        <w:tc>
          <w:tcPr>
            <w:tcW w:w="1096" w:type="dxa"/>
            <w:vMerge w:val="restart"/>
            <w:tcBorders>
              <w:top w:val="single" w:color="000000" w:sz="6" w:space="0"/>
              <w:left w:val="single" w:color="000000" w:sz="6" w:space="0"/>
              <w:bottom w:val="single" w:color="000000" w:sz="6" w:space="0"/>
              <w:right w:val="single" w:color="000000" w:sz="4" w:space="0"/>
            </w:tcBorders>
            <w:vAlign w:val="center"/>
          </w:tcPr>
          <w:p>
            <w:pPr>
              <w:pStyle w:val="36"/>
              <w:ind w:firstLine="420" w:firstLineChars="200"/>
              <w:jc w:val="both"/>
              <w:rPr>
                <w:sz w:val="21"/>
              </w:rPr>
            </w:pPr>
            <w:r>
              <w:rPr>
                <w:sz w:val="21"/>
              </w:rPr>
              <w:t>2</w:t>
            </w:r>
            <w:r>
              <w:rPr>
                <w:rFonts w:hint="eastAsia"/>
                <w:sz w:val="21"/>
                <w:lang w:val="en-US"/>
              </w:rPr>
              <w:t>0</w:t>
            </w:r>
            <w:r>
              <w:rPr>
                <w:sz w:val="21"/>
              </w:rPr>
              <w:t>分</w:t>
            </w:r>
          </w:p>
        </w:tc>
        <w:tc>
          <w:tcPr>
            <w:tcW w:w="4678" w:type="dxa"/>
            <w:tcBorders>
              <w:top w:val="single" w:color="000000" w:sz="6" w:space="0"/>
              <w:left w:val="single" w:color="000000" w:sz="4" w:space="0"/>
              <w:bottom w:val="single" w:color="000000" w:sz="6" w:space="0"/>
              <w:right w:val="single" w:color="000000" w:sz="4" w:space="0"/>
            </w:tcBorders>
            <w:vAlign w:val="center"/>
          </w:tcPr>
          <w:p>
            <w:pPr>
              <w:pStyle w:val="36"/>
              <w:spacing w:before="99"/>
              <w:ind w:left="120"/>
              <w:jc w:val="both"/>
              <w:rPr>
                <w:sz w:val="21"/>
              </w:rPr>
            </w:pPr>
            <w:r>
              <w:rPr>
                <w:sz w:val="21"/>
              </w:rPr>
              <w:t>项目管理机构（含项目负责人、技术负责人、质量负责人、安全负责人及其他主要人员的资格与业绩）</w:t>
            </w:r>
            <w:r>
              <w:rPr>
                <w:rFonts w:hint="eastAsia"/>
                <w:sz w:val="21"/>
                <w:lang w:val="en-US"/>
              </w:rPr>
              <w:t>5</w:t>
            </w:r>
            <w:r>
              <w:rPr>
                <w:sz w:val="21"/>
              </w:rPr>
              <w:t>～10 分</w:t>
            </w:r>
          </w:p>
        </w:tc>
        <w:tc>
          <w:tcPr>
            <w:tcW w:w="1447" w:type="dxa"/>
            <w:tcBorders>
              <w:top w:val="single" w:color="000000" w:sz="6" w:space="0"/>
              <w:left w:val="single" w:color="000000" w:sz="4" w:space="0"/>
              <w:bottom w:val="single" w:color="000000" w:sz="6" w:space="0"/>
            </w:tcBorders>
            <w:vAlign w:val="center"/>
          </w:tcPr>
          <w:p>
            <w:pPr>
              <w:pStyle w:val="36"/>
              <w:spacing w:before="99"/>
              <w:ind w:right="199"/>
              <w:jc w:val="center"/>
              <w:rPr>
                <w:sz w:val="21"/>
              </w:rPr>
            </w:pPr>
            <w:r>
              <w:rPr>
                <w:rFonts w:hint="eastAsia"/>
                <w:sz w:val="21"/>
                <w:lang w:val="en-US"/>
              </w:rPr>
              <w:t>5</w:t>
            </w:r>
            <w:r>
              <w:rPr>
                <w:sz w:val="21"/>
              </w:rPr>
              <w:t>～10 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438" w:hRule="atLeast"/>
          <w:jc w:val="center"/>
        </w:trPr>
        <w:tc>
          <w:tcPr>
            <w:tcW w:w="1158" w:type="dxa"/>
            <w:vMerge w:val="continue"/>
            <w:tcBorders>
              <w:top w:val="nil"/>
              <w:bottom w:val="single" w:color="000000" w:sz="6" w:space="0"/>
              <w:right w:val="single" w:color="000000" w:sz="6" w:space="0"/>
            </w:tcBorders>
            <w:vAlign w:val="center"/>
          </w:tcPr>
          <w:p>
            <w:pPr>
              <w:jc w:val="both"/>
              <w:rPr>
                <w:sz w:val="2"/>
                <w:szCs w:val="2"/>
              </w:rPr>
            </w:pPr>
          </w:p>
        </w:tc>
        <w:tc>
          <w:tcPr>
            <w:tcW w:w="1554" w:type="dxa"/>
            <w:vMerge w:val="continue"/>
            <w:tcBorders>
              <w:top w:val="nil"/>
              <w:left w:val="single" w:color="000000" w:sz="6" w:space="0"/>
              <w:bottom w:val="single" w:color="000000" w:sz="6" w:space="0"/>
              <w:right w:val="single" w:color="000000" w:sz="6" w:space="0"/>
            </w:tcBorders>
            <w:vAlign w:val="center"/>
          </w:tcPr>
          <w:p>
            <w:pPr>
              <w:jc w:val="both"/>
              <w:rPr>
                <w:sz w:val="2"/>
                <w:szCs w:val="2"/>
              </w:rPr>
            </w:pPr>
          </w:p>
        </w:tc>
        <w:tc>
          <w:tcPr>
            <w:tcW w:w="1096" w:type="dxa"/>
            <w:vMerge w:val="continue"/>
            <w:tcBorders>
              <w:top w:val="nil"/>
              <w:left w:val="single" w:color="000000" w:sz="6" w:space="0"/>
              <w:bottom w:val="single" w:color="000000" w:sz="6" w:space="0"/>
              <w:right w:val="single" w:color="000000" w:sz="4" w:space="0"/>
            </w:tcBorders>
            <w:vAlign w:val="center"/>
          </w:tcPr>
          <w:p>
            <w:pPr>
              <w:jc w:val="both"/>
              <w:rPr>
                <w:sz w:val="2"/>
                <w:szCs w:val="2"/>
              </w:rPr>
            </w:pPr>
          </w:p>
        </w:tc>
        <w:tc>
          <w:tcPr>
            <w:tcW w:w="4678" w:type="dxa"/>
            <w:tcBorders>
              <w:top w:val="single" w:color="000000" w:sz="6" w:space="0"/>
              <w:left w:val="single" w:color="000000" w:sz="4" w:space="0"/>
              <w:bottom w:val="single" w:color="000000" w:sz="6" w:space="0"/>
              <w:right w:val="single" w:color="000000" w:sz="4" w:space="0"/>
            </w:tcBorders>
            <w:vAlign w:val="center"/>
          </w:tcPr>
          <w:p>
            <w:pPr>
              <w:pStyle w:val="36"/>
              <w:spacing w:before="99"/>
              <w:ind w:left="120"/>
              <w:jc w:val="both"/>
              <w:rPr>
                <w:sz w:val="21"/>
              </w:rPr>
            </w:pPr>
            <w:r>
              <w:rPr>
                <w:sz w:val="21"/>
              </w:rPr>
              <w:t>对项目管理机构人员的到位情况承诺</w:t>
            </w:r>
            <w:r>
              <w:rPr>
                <w:rFonts w:hint="eastAsia"/>
                <w:sz w:val="21"/>
                <w:lang w:val="en-US"/>
              </w:rPr>
              <w:t>5</w:t>
            </w:r>
            <w:r>
              <w:rPr>
                <w:sz w:val="21"/>
              </w:rPr>
              <w:t>～10 分</w:t>
            </w:r>
          </w:p>
        </w:tc>
        <w:tc>
          <w:tcPr>
            <w:tcW w:w="1447" w:type="dxa"/>
            <w:tcBorders>
              <w:top w:val="single" w:color="000000" w:sz="6" w:space="0"/>
              <w:left w:val="single" w:color="000000" w:sz="4" w:space="0"/>
              <w:bottom w:val="single" w:color="000000" w:sz="6" w:space="0"/>
            </w:tcBorders>
            <w:vAlign w:val="center"/>
          </w:tcPr>
          <w:p>
            <w:pPr>
              <w:pStyle w:val="36"/>
              <w:spacing w:before="99"/>
              <w:ind w:right="199"/>
              <w:jc w:val="center"/>
              <w:rPr>
                <w:sz w:val="21"/>
              </w:rPr>
            </w:pPr>
            <w:r>
              <w:rPr>
                <w:rFonts w:hint="eastAsia"/>
                <w:sz w:val="21"/>
                <w:lang w:val="en-US"/>
              </w:rPr>
              <w:t>5</w:t>
            </w:r>
            <w:r>
              <w:rPr>
                <w:sz w:val="21"/>
              </w:rPr>
              <w:t>～10 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0" w:type="dxa"/>
            <w:left w:w="0" w:type="dxa"/>
            <w:bottom w:w="0" w:type="dxa"/>
            <w:right w:w="0" w:type="dxa"/>
          </w:tblCellMar>
        </w:tblPrEx>
        <w:trPr>
          <w:trHeight w:val="1115" w:hRule="atLeast"/>
          <w:jc w:val="center"/>
        </w:trPr>
        <w:tc>
          <w:tcPr>
            <w:tcW w:w="1158" w:type="dxa"/>
            <w:tcBorders>
              <w:top w:val="single" w:color="000000" w:sz="6" w:space="0"/>
              <w:right w:val="single" w:color="000000" w:sz="6" w:space="0"/>
            </w:tcBorders>
            <w:vAlign w:val="center"/>
          </w:tcPr>
          <w:p>
            <w:pPr>
              <w:pStyle w:val="36"/>
              <w:ind w:firstLine="630" w:firstLineChars="300"/>
              <w:jc w:val="both"/>
              <w:rPr>
                <w:sz w:val="21"/>
              </w:rPr>
            </w:pPr>
            <w:r>
              <w:rPr>
                <w:rFonts w:hint="eastAsia"/>
                <w:sz w:val="21"/>
                <w:lang w:val="en-US"/>
              </w:rPr>
              <w:t>3</w:t>
            </w:r>
          </w:p>
        </w:tc>
        <w:tc>
          <w:tcPr>
            <w:tcW w:w="1554" w:type="dxa"/>
            <w:tcBorders>
              <w:top w:val="single" w:color="000000" w:sz="6" w:space="0"/>
              <w:left w:val="single" w:color="000000" w:sz="6" w:space="0"/>
              <w:right w:val="single" w:color="000000" w:sz="6" w:space="0"/>
            </w:tcBorders>
            <w:vAlign w:val="center"/>
          </w:tcPr>
          <w:p>
            <w:pPr>
              <w:pStyle w:val="36"/>
              <w:ind w:right="21" w:firstLine="420" w:firstLineChars="200"/>
              <w:jc w:val="both"/>
              <w:rPr>
                <w:kern w:val="2"/>
                <w:sz w:val="21"/>
                <w:szCs w:val="24"/>
              </w:rPr>
            </w:pPr>
            <w:r>
              <w:rPr>
                <w:sz w:val="21"/>
              </w:rPr>
              <w:t>企业业绩</w:t>
            </w:r>
          </w:p>
        </w:tc>
        <w:tc>
          <w:tcPr>
            <w:tcW w:w="1096" w:type="dxa"/>
            <w:tcBorders>
              <w:top w:val="single" w:color="000000" w:sz="6" w:space="0"/>
              <w:left w:val="single" w:color="000000" w:sz="6" w:space="0"/>
              <w:right w:val="single" w:color="000000" w:sz="4" w:space="0"/>
            </w:tcBorders>
            <w:vAlign w:val="center"/>
          </w:tcPr>
          <w:p>
            <w:pPr>
              <w:pStyle w:val="36"/>
              <w:ind w:firstLine="420" w:firstLineChars="200"/>
              <w:jc w:val="both"/>
              <w:rPr>
                <w:kern w:val="2"/>
                <w:sz w:val="21"/>
                <w:szCs w:val="24"/>
              </w:rPr>
            </w:pPr>
            <w:r>
              <w:rPr>
                <w:sz w:val="21"/>
              </w:rPr>
              <w:t>5分</w:t>
            </w:r>
          </w:p>
        </w:tc>
        <w:tc>
          <w:tcPr>
            <w:tcW w:w="4678" w:type="dxa"/>
            <w:tcBorders>
              <w:top w:val="single" w:color="000000" w:sz="6" w:space="0"/>
              <w:left w:val="single" w:color="000000" w:sz="4" w:space="0"/>
              <w:right w:val="single" w:color="000000" w:sz="4" w:space="0"/>
            </w:tcBorders>
            <w:vAlign w:val="center"/>
          </w:tcPr>
          <w:p>
            <w:pPr>
              <w:pStyle w:val="36"/>
              <w:spacing w:before="32" w:line="300" w:lineRule="atLeast"/>
              <w:ind w:left="120" w:right="88"/>
              <w:jc w:val="both"/>
              <w:rPr>
                <w:kern w:val="2"/>
                <w:sz w:val="21"/>
                <w:szCs w:val="24"/>
              </w:rPr>
            </w:pPr>
            <w:r>
              <w:rPr>
                <w:rFonts w:hint="eastAsia"/>
                <w:spacing w:val="-18"/>
                <w:sz w:val="21"/>
              </w:rPr>
              <w:t>近</w:t>
            </w:r>
            <w:r>
              <w:rPr>
                <w:rFonts w:hint="eastAsia"/>
                <w:spacing w:val="-18"/>
                <w:sz w:val="21"/>
                <w:lang w:val="en-US"/>
              </w:rPr>
              <w:t>3</w:t>
            </w:r>
            <w:r>
              <w:rPr>
                <w:rFonts w:hint="eastAsia"/>
                <w:spacing w:val="-18"/>
                <w:sz w:val="21"/>
              </w:rPr>
              <w:t>年完成类似项目业绩，有1项得</w:t>
            </w:r>
            <w:r>
              <w:rPr>
                <w:rFonts w:hint="eastAsia"/>
                <w:spacing w:val="-18"/>
                <w:sz w:val="21"/>
                <w:lang w:val="en-US"/>
              </w:rPr>
              <w:t>1</w:t>
            </w:r>
            <w:r>
              <w:rPr>
                <w:rFonts w:hint="eastAsia"/>
                <w:spacing w:val="-18"/>
                <w:sz w:val="21"/>
              </w:rPr>
              <w:t>分，最高累计到</w:t>
            </w:r>
            <w:r>
              <w:rPr>
                <w:rFonts w:hint="eastAsia"/>
                <w:spacing w:val="-18"/>
                <w:sz w:val="21"/>
                <w:lang w:val="en-US"/>
              </w:rPr>
              <w:t xml:space="preserve"> </w:t>
            </w:r>
            <w:r>
              <w:rPr>
                <w:rFonts w:hint="eastAsia"/>
                <w:spacing w:val="-18"/>
                <w:sz w:val="21"/>
              </w:rPr>
              <w:t>5分</w:t>
            </w:r>
          </w:p>
        </w:tc>
        <w:tc>
          <w:tcPr>
            <w:tcW w:w="1447" w:type="dxa"/>
            <w:tcBorders>
              <w:top w:val="single" w:color="000000" w:sz="6" w:space="0"/>
              <w:left w:val="single" w:color="000000" w:sz="4" w:space="0"/>
            </w:tcBorders>
            <w:vAlign w:val="center"/>
          </w:tcPr>
          <w:p>
            <w:pPr>
              <w:pStyle w:val="36"/>
              <w:ind w:right="253" w:firstLine="210" w:firstLineChars="100"/>
              <w:jc w:val="both"/>
              <w:rPr>
                <w:kern w:val="2"/>
                <w:sz w:val="21"/>
                <w:szCs w:val="24"/>
              </w:rPr>
            </w:pPr>
            <w:r>
              <w:rPr>
                <w:rFonts w:hint="eastAsia"/>
                <w:sz w:val="21"/>
                <w:lang w:val="en-US"/>
              </w:rPr>
              <w:t>0</w:t>
            </w:r>
            <w:r>
              <w:rPr>
                <w:sz w:val="21"/>
              </w:rPr>
              <w:t>～</w:t>
            </w:r>
            <w:r>
              <w:rPr>
                <w:rFonts w:hint="eastAsia"/>
                <w:sz w:val="21"/>
              </w:rPr>
              <w:t>5</w:t>
            </w:r>
            <w:r>
              <w:rPr>
                <w:sz w:val="21"/>
              </w:rPr>
              <w:t xml:space="preserve"> 分</w:t>
            </w:r>
          </w:p>
        </w:tc>
      </w:tr>
    </w:tbl>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以上各项评审内容若有漏项，则该项得“0”分；</w:t>
      </w:r>
    </w:p>
    <w:p>
      <w:pPr>
        <w:rPr>
          <w:rFonts w:ascii="宋体" w:hAnsi="宋体" w:cs="宋体"/>
          <w:color w:val="000000"/>
          <w:kern w:val="0"/>
          <w:sz w:val="28"/>
          <w:szCs w:val="28"/>
        </w:rPr>
      </w:pPr>
      <w:r>
        <w:rPr>
          <w:rFonts w:hint="eastAsia" w:asciiTheme="minorEastAsia" w:hAnsiTheme="minorEastAsia" w:eastAsiaTheme="minorEastAsia" w:cstheme="minorEastAsia"/>
          <w:bCs/>
          <w:szCs w:val="21"/>
        </w:rPr>
        <w:t>磋商过程中成交供应商的二次报价即为合同价，如与磋商响应截止时的报价不同，则视为总价优惠。</w:t>
      </w:r>
      <w:r>
        <w:rPr>
          <w:rFonts w:hint="eastAsia" w:ascii="宋体" w:hAnsi="宋体" w:cs="宋体"/>
          <w:color w:val="000000"/>
          <w:kern w:val="0"/>
          <w:sz w:val="28"/>
          <w:szCs w:val="28"/>
        </w:rPr>
        <w:br w:type="page"/>
      </w:r>
    </w:p>
    <w:p>
      <w:pPr>
        <w:pStyle w:val="3"/>
      </w:pPr>
      <w:r>
        <w:rPr>
          <w:rFonts w:hint="eastAsia"/>
        </w:rPr>
        <w:t xml:space="preserve"> </w:t>
      </w:r>
      <w:bookmarkStart w:id="141" w:name="_Toc12585"/>
      <w:bookmarkStart w:id="142" w:name="_Toc3923"/>
      <w:bookmarkStart w:id="143" w:name="_Toc354060232"/>
      <w:bookmarkStart w:id="144" w:name="_Toc11572"/>
      <w:r>
        <w:rPr>
          <w:rFonts w:hint="eastAsia"/>
        </w:rPr>
        <w:t>第四章  合同条款及格式</w:t>
      </w:r>
      <w:bookmarkEnd w:id="141"/>
      <w:bookmarkEnd w:id="142"/>
      <w:bookmarkEnd w:id="143"/>
      <w:bookmarkEnd w:id="144"/>
    </w:p>
    <w:p>
      <w:pPr>
        <w:jc w:val="center"/>
        <w:rPr>
          <w:rFonts w:ascii="宋体" w:hAnsi="宋体"/>
          <w:b/>
          <w:sz w:val="58"/>
          <w:szCs w:val="52"/>
        </w:rPr>
      </w:pPr>
      <w:bookmarkStart w:id="145" w:name="_Toc8205"/>
      <w:bookmarkStart w:id="146" w:name="_Toc19070"/>
      <w:bookmarkStart w:id="147" w:name="_Toc354060237"/>
    </w:p>
    <w:p>
      <w:pPr>
        <w:jc w:val="center"/>
        <w:rPr>
          <w:rFonts w:ascii="宋体" w:hAnsi="宋体"/>
          <w:b/>
          <w:sz w:val="52"/>
          <w:szCs w:val="52"/>
        </w:rPr>
      </w:pPr>
      <w:r>
        <w:rPr>
          <w:rFonts w:ascii="宋体" w:hAnsi="宋体"/>
          <w:b/>
          <w:sz w:val="36"/>
          <w:szCs w:val="36"/>
        </w:rPr>
        <w:t>建设工程施工合同</w:t>
      </w:r>
      <w:r>
        <w:rPr>
          <w:rFonts w:ascii="宋体" w:hAnsi="宋体"/>
          <w:b/>
          <w:sz w:val="38"/>
          <w:szCs w:val="52"/>
        </w:rPr>
        <w:br w:type="textWrapping"/>
      </w:r>
    </w:p>
    <w:p>
      <w:pPr>
        <w:jc w:val="center"/>
        <w:rPr>
          <w:rFonts w:ascii="宋体" w:hAnsi="宋体"/>
          <w:b/>
          <w:sz w:val="52"/>
          <w:szCs w:val="52"/>
        </w:rPr>
      </w:pPr>
    </w:p>
    <w:p>
      <w:pPr>
        <w:jc w:val="center"/>
        <w:rPr>
          <w:rFonts w:ascii="宋体" w:hAnsi="宋体"/>
          <w:b/>
          <w:sz w:val="72"/>
          <w:szCs w:val="72"/>
        </w:rPr>
      </w:pPr>
    </w:p>
    <w:p>
      <w:pPr>
        <w:jc w:val="center"/>
        <w:rPr>
          <w:rFonts w:ascii="宋体" w:hAnsi="宋体"/>
          <w:b/>
          <w:sz w:val="72"/>
          <w:szCs w:val="72"/>
        </w:rPr>
      </w:pPr>
    </w:p>
    <w:p>
      <w:pPr>
        <w:jc w:val="center"/>
        <w:rPr>
          <w:rFonts w:ascii="宋体" w:hAnsi="宋体"/>
          <w:b/>
          <w:sz w:val="52"/>
          <w:szCs w:val="52"/>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spacing w:line="360" w:lineRule="exact"/>
        <w:ind w:right="2719" w:rightChars="1295"/>
        <w:jc w:val="center"/>
        <w:rPr>
          <w:rFonts w:ascii="宋体" w:hAnsi="宋体"/>
          <w:b/>
          <w:sz w:val="32"/>
          <w:szCs w:val="28"/>
        </w:rPr>
      </w:pPr>
      <w:r>
        <w:rPr>
          <w:rFonts w:hint="eastAsia" w:ascii="宋体" w:hAnsi="宋体"/>
          <w:b/>
          <w:sz w:val="32"/>
          <w:szCs w:val="28"/>
        </w:rPr>
        <w:t xml:space="preserve"> </w:t>
      </w:r>
      <w:r>
        <w:rPr>
          <w:rFonts w:ascii="宋体" w:hAnsi="宋体"/>
          <w:b/>
          <w:sz w:val="32"/>
          <w:szCs w:val="28"/>
        </w:rPr>
        <w:t xml:space="preserve">                住房城乡建设部</w:t>
      </w:r>
    </w:p>
    <w:p>
      <w:pPr>
        <w:spacing w:line="360" w:lineRule="exact"/>
        <w:ind w:right="1873" w:rightChars="892" w:firstLine="4189" w:firstLineChars="1304"/>
        <w:jc w:val="distribute"/>
        <w:rPr>
          <w:rFonts w:ascii="宋体" w:hAnsi="宋体"/>
          <w:b/>
          <w:sz w:val="32"/>
          <w:szCs w:val="28"/>
        </w:rPr>
      </w:pPr>
      <w:r>
        <w:rPr>
          <w:rFonts w:hint="eastAsia" w:ascii="宋体" w:hAnsi="宋体"/>
          <w:b/>
          <w:sz w:val="32"/>
          <w:szCs w:val="28"/>
        </w:rPr>
        <w:t xml:space="preserve"> </w:t>
      </w:r>
      <w:r>
        <w:rPr>
          <w:rFonts w:ascii="宋体" w:hAnsi="宋体"/>
          <w:b/>
          <w:sz w:val="32"/>
          <w:szCs w:val="28"/>
        </w:rPr>
        <w:t xml:space="preserve">            制定</w:t>
      </w:r>
      <w:r>
        <w:rPr>
          <w:rFonts w:hint="eastAsia" w:ascii="宋体" w:hAnsi="宋体"/>
          <w:b/>
          <w:sz w:val="32"/>
          <w:szCs w:val="28"/>
        </w:rPr>
        <w:t xml:space="preserve"> </w:t>
      </w:r>
      <w:r>
        <w:rPr>
          <w:rFonts w:ascii="宋体" w:hAnsi="宋体"/>
          <w:b/>
          <w:sz w:val="32"/>
          <w:szCs w:val="28"/>
        </w:rPr>
        <w:t xml:space="preserve">  </w:t>
      </w:r>
    </w:p>
    <w:p>
      <w:pPr>
        <w:spacing w:line="360" w:lineRule="exact"/>
        <w:ind w:right="2719" w:rightChars="1295" w:firstLine="2750" w:firstLineChars="856"/>
        <w:jc w:val="distribute"/>
        <w:rPr>
          <w:rFonts w:ascii="宋体" w:hAnsi="宋体"/>
          <w:b/>
          <w:sz w:val="32"/>
          <w:szCs w:val="28"/>
        </w:rPr>
      </w:pPr>
      <w:r>
        <w:rPr>
          <w:rFonts w:ascii="宋体" w:hAnsi="宋体"/>
          <w:b/>
          <w:sz w:val="32"/>
          <w:szCs w:val="28"/>
        </w:rPr>
        <w:t>国家工商行政管理总局</w:t>
      </w:r>
    </w:p>
    <w:p>
      <w:pPr>
        <w:pStyle w:val="5"/>
        <w:spacing w:line="360" w:lineRule="exact"/>
        <w:rPr>
          <w:rFonts w:ascii="宋体" w:hAnsi="宋体"/>
          <w:sz w:val="28"/>
          <w:szCs w:val="28"/>
        </w:rPr>
        <w:sectPr>
          <w:footerReference r:id="rId6" w:type="default"/>
          <w:pgSz w:w="11906" w:h="16838"/>
          <w:pgMar w:top="1418" w:right="1555" w:bottom="1418" w:left="1531" w:header="851" w:footer="992" w:gutter="0"/>
          <w:pgNumType w:start="1"/>
          <w:cols w:space="720" w:num="1"/>
          <w:docGrid w:type="lines" w:linePitch="312" w:charSpace="0"/>
        </w:sectPr>
      </w:pPr>
      <w:bookmarkStart w:id="148" w:name="_Toc351203480"/>
      <w:bookmarkStart w:id="149" w:name="_Toc296890982"/>
      <w:bookmarkStart w:id="150" w:name="_Toc296503025"/>
    </w:p>
    <w:bookmarkEnd w:id="148"/>
    <w:bookmarkEnd w:id="149"/>
    <w:bookmarkEnd w:id="150"/>
    <w:p>
      <w:pPr>
        <w:pStyle w:val="4"/>
        <w:tabs>
          <w:tab w:val="left" w:pos="482"/>
        </w:tabs>
        <w:rPr>
          <w:rFonts w:asciiTheme="minorEastAsia" w:hAnsiTheme="minorEastAsia" w:eastAsiaTheme="minorEastAsia" w:cstheme="minorEastAsia"/>
          <w:b w:val="0"/>
          <w:sz w:val="21"/>
          <w:szCs w:val="21"/>
        </w:rPr>
      </w:pPr>
      <w:bookmarkStart w:id="151" w:name="_Toc36236198"/>
      <w:bookmarkStart w:id="152" w:name="_Toc19793"/>
      <w:bookmarkStart w:id="153" w:name="_Toc351203632"/>
      <w:bookmarkStart w:id="154" w:name="_Toc364679573"/>
      <w:r>
        <w:rPr>
          <w:rFonts w:hint="eastAsia" w:asciiTheme="minorEastAsia" w:hAnsiTheme="minorEastAsia" w:eastAsiaTheme="minorEastAsia" w:cstheme="minorEastAsia"/>
          <w:b w:val="0"/>
          <w:sz w:val="21"/>
          <w:szCs w:val="21"/>
        </w:rPr>
        <w:t>第一节 合同协议书</w:t>
      </w:r>
      <w:bookmarkEnd w:id="151"/>
      <w:bookmarkEnd w:id="152"/>
    </w:p>
    <w:p>
      <w:pPr>
        <w:spacing w:line="360" w:lineRule="auto"/>
        <w:rPr>
          <w:rFonts w:ascii="宋体" w:hAnsi="宋体" w:cs="宋体"/>
          <w:b/>
          <w:szCs w:val="21"/>
          <w:u w:val="single"/>
        </w:rPr>
      </w:pPr>
      <w:r>
        <w:rPr>
          <w:rFonts w:hint="eastAsia" w:ascii="宋体" w:hAnsi="宋体" w:cs="宋体"/>
          <w:b/>
          <w:szCs w:val="21"/>
        </w:rPr>
        <w:t>发包人（全称）：</w:t>
      </w:r>
      <w:r>
        <w:rPr>
          <w:rFonts w:hint="eastAsia" w:ascii="宋体" w:hAnsi="宋体" w:cs="宋体"/>
          <w:b/>
          <w:szCs w:val="21"/>
          <w:u w:val="single"/>
        </w:rPr>
        <w:t>      上海市宝山区</w:t>
      </w:r>
      <w:r>
        <w:rPr>
          <w:rFonts w:hint="eastAsia" w:ascii="宋体" w:hAnsi="宋体" w:cs="宋体"/>
          <w:b/>
          <w:szCs w:val="21"/>
          <w:u w:val="single"/>
          <w:lang w:eastAsia="zh-CN"/>
        </w:rPr>
        <w:t>月浦镇</w:t>
      </w:r>
      <w:r>
        <w:rPr>
          <w:rFonts w:hint="eastAsia" w:ascii="宋体" w:hAnsi="宋体" w:cs="宋体"/>
          <w:b/>
          <w:szCs w:val="21"/>
          <w:u w:val="single"/>
        </w:rPr>
        <w:t xml:space="preserve">人民政府      </w:t>
      </w:r>
    </w:p>
    <w:p>
      <w:pPr>
        <w:spacing w:line="360" w:lineRule="auto"/>
        <w:rPr>
          <w:rFonts w:ascii="宋体" w:hAnsi="宋体" w:cs="宋体"/>
          <w:b/>
          <w:szCs w:val="21"/>
          <w:u w:val="single"/>
        </w:rPr>
      </w:pPr>
      <w:r>
        <w:rPr>
          <w:rFonts w:hint="eastAsia" w:ascii="宋体" w:hAnsi="宋体" w:cs="宋体"/>
          <w:b/>
          <w:szCs w:val="21"/>
        </w:rPr>
        <w:t>承包人（全称）：</w:t>
      </w:r>
      <w:r>
        <w:rPr>
          <w:rFonts w:hint="eastAsia" w:ascii="宋体" w:hAnsi="宋体" w:cs="宋体"/>
          <w:b/>
          <w:szCs w:val="21"/>
          <w:u w:val="single"/>
        </w:rPr>
        <w:t>                      </w:t>
      </w:r>
    </w:p>
    <w:p>
      <w:pPr>
        <w:spacing w:line="360" w:lineRule="auto"/>
        <w:ind w:firstLine="480"/>
        <w:rPr>
          <w:rFonts w:ascii="宋体" w:hAnsi="宋体" w:cs="宋体"/>
          <w:szCs w:val="21"/>
        </w:rPr>
      </w:pPr>
      <w:r>
        <w:rPr>
          <w:rFonts w:hint="eastAsia" w:ascii="宋体" w:hAnsi="宋体" w:cs="宋体"/>
          <w:szCs w:val="21"/>
        </w:rPr>
        <w:t>根据《中华人民共和国合同法》、《中华人民共和国建筑法》及有关法律规定，遵循平等、自愿、公平和诚实信用的原则，双方就</w:t>
      </w:r>
      <w:r>
        <w:rPr>
          <w:rFonts w:hint="eastAsia" w:ascii="宋体" w:hAnsi="宋体" w:cs="宋体"/>
          <w:szCs w:val="21"/>
          <w:u w:val="single"/>
        </w:rPr>
        <w:t xml:space="preserve">   </w:t>
      </w:r>
      <w:r>
        <w:rPr>
          <w:rFonts w:hint="eastAsia"/>
          <w:sz w:val="21"/>
          <w:szCs w:val="21"/>
          <w:u w:val="single"/>
          <w:shd w:val="clear" w:color="auto" w:fill="FFFFFF"/>
          <w:lang w:eastAsia="zh-CN"/>
        </w:rPr>
        <w:t>月浦镇段泾村土地整理复垦项目（沪宝耕立【2021】0007号）</w:t>
      </w:r>
      <w:r>
        <w:rPr>
          <w:rFonts w:hint="eastAsia" w:ascii="宋体" w:hAnsi="宋体" w:cs="宋体"/>
          <w:szCs w:val="21"/>
          <w:u w:val="single"/>
        </w:rPr>
        <w:t xml:space="preserve">    </w:t>
      </w:r>
      <w:r>
        <w:rPr>
          <w:rFonts w:hint="eastAsia" w:ascii="宋体" w:hAnsi="宋体" w:cs="宋体"/>
          <w:szCs w:val="21"/>
        </w:rPr>
        <w:t>施工及有关事项协商一致，共同达成如下协议：</w:t>
      </w:r>
    </w:p>
    <w:p>
      <w:pPr>
        <w:keepNext/>
        <w:keepLines/>
        <w:spacing w:before="120" w:after="120" w:line="360" w:lineRule="auto"/>
        <w:outlineLvl w:val="3"/>
        <w:rPr>
          <w:rFonts w:ascii="宋体" w:hAnsi="宋体" w:cs="宋体"/>
          <w:b/>
          <w:szCs w:val="21"/>
        </w:rPr>
      </w:pPr>
      <w:bookmarkStart w:id="155" w:name="_Toc351203481"/>
      <w:r>
        <w:rPr>
          <w:rFonts w:hint="eastAsia" w:ascii="宋体" w:hAnsi="宋体" w:cs="宋体"/>
          <w:b/>
          <w:szCs w:val="21"/>
        </w:rPr>
        <w:t>一、工程概况</w:t>
      </w:r>
      <w:bookmarkEnd w:id="155"/>
    </w:p>
    <w:p>
      <w:pPr>
        <w:spacing w:line="360" w:lineRule="auto"/>
        <w:ind w:firstLine="411" w:firstLineChars="196"/>
        <w:rPr>
          <w:rFonts w:ascii="宋体" w:hAnsi="宋体" w:cs="宋体"/>
          <w:szCs w:val="21"/>
          <w:u w:val="single"/>
        </w:rPr>
      </w:pPr>
      <w:r>
        <w:rPr>
          <w:rFonts w:hint="eastAsia" w:ascii="宋体" w:hAnsi="宋体" w:cs="宋体"/>
          <w:bCs/>
          <w:szCs w:val="21"/>
        </w:rPr>
        <w:t>1.工程名称</w:t>
      </w:r>
      <w:r>
        <w:rPr>
          <w:rFonts w:hint="eastAsia" w:ascii="宋体" w:hAnsi="宋体" w:cs="宋体"/>
          <w:szCs w:val="21"/>
        </w:rPr>
        <w:t>：</w:t>
      </w:r>
      <w:r>
        <w:rPr>
          <w:rFonts w:hint="eastAsia" w:ascii="宋体" w:hAnsi="宋体" w:cs="宋体"/>
          <w:szCs w:val="21"/>
          <w:u w:val="single"/>
        </w:rPr>
        <w:t></w:t>
      </w:r>
      <w:r>
        <w:rPr>
          <w:rFonts w:hint="eastAsia" w:ascii="宋体" w:hAnsi="宋体" w:cs="宋体"/>
          <w:szCs w:val="21"/>
          <w:u w:val="single"/>
          <w:lang w:val="en-US" w:eastAsia="zh-CN"/>
        </w:rPr>
        <w:t xml:space="preserve">                    </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11" w:firstLineChars="196"/>
        <w:rPr>
          <w:rFonts w:ascii="宋体" w:hAnsi="宋体" w:cs="宋体"/>
          <w:bCs/>
          <w:szCs w:val="21"/>
        </w:rPr>
      </w:pPr>
      <w:r>
        <w:rPr>
          <w:rFonts w:hint="eastAsia" w:ascii="宋体" w:hAnsi="宋体" w:cs="宋体"/>
          <w:bCs/>
          <w:szCs w:val="21"/>
        </w:rPr>
        <w:t>2.工程地点：</w:t>
      </w:r>
      <w:r>
        <w:rPr>
          <w:rFonts w:hint="eastAsia" w:ascii="宋体" w:hAnsi="宋体" w:cs="宋体"/>
          <w:szCs w:val="21"/>
          <w:u w:val="single"/>
        </w:rPr>
        <w:t></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11" w:firstLineChars="196"/>
        <w:rPr>
          <w:rFonts w:ascii="宋体" w:hAnsi="宋体" w:cs="宋体"/>
          <w:bCs/>
          <w:szCs w:val="21"/>
        </w:rPr>
      </w:pPr>
      <w:r>
        <w:rPr>
          <w:rFonts w:hint="eastAsia" w:ascii="宋体" w:hAnsi="宋体" w:cs="宋体"/>
          <w:bCs/>
          <w:szCs w:val="21"/>
        </w:rPr>
        <w:t>3.工程立项批准文号：</w:t>
      </w:r>
      <w:r>
        <w:rPr>
          <w:rFonts w:hint="eastAsia" w:ascii="宋体" w:hAnsi="宋体" w:cs="宋体"/>
          <w:szCs w:val="21"/>
          <w:u w:val="single"/>
        </w:rPr>
        <w:t xml:space="preserve">       </w:t>
      </w:r>
      <w:r>
        <w:rPr>
          <w:rFonts w:hint="eastAsia" w:ascii="宋体" w:hAnsi="宋体" w:cs="宋体"/>
          <w:bCs/>
          <w:szCs w:val="21"/>
        </w:rPr>
        <w:t>。</w:t>
      </w:r>
    </w:p>
    <w:p>
      <w:pPr>
        <w:spacing w:line="360" w:lineRule="auto"/>
        <w:ind w:firstLine="411" w:firstLineChars="196"/>
        <w:rPr>
          <w:rFonts w:ascii="宋体" w:hAnsi="宋体" w:cs="宋体"/>
          <w:bCs/>
          <w:szCs w:val="21"/>
        </w:rPr>
      </w:pPr>
      <w:r>
        <w:rPr>
          <w:rFonts w:hint="eastAsia" w:ascii="宋体" w:hAnsi="宋体" w:cs="宋体"/>
          <w:bCs/>
          <w:szCs w:val="21"/>
        </w:rPr>
        <w:t>4.资金来源：</w:t>
      </w:r>
      <w:r>
        <w:rPr>
          <w:rFonts w:hint="eastAsia" w:ascii="宋体" w:hAnsi="宋体" w:cs="宋体"/>
          <w:szCs w:val="21"/>
          <w:u w:val="single"/>
        </w:rPr>
        <w:t></w:t>
      </w:r>
      <w:r>
        <w:rPr>
          <w:rFonts w:hint="eastAsia" w:ascii="宋体" w:hAnsi="宋体" w:cs="宋体"/>
          <w:bCs/>
          <w:szCs w:val="21"/>
          <w:u w:val="single"/>
        </w:rPr>
        <w:t>政府财政资金投资（自筹资金）</w:t>
      </w:r>
      <w:r>
        <w:rPr>
          <w:rFonts w:hint="eastAsia" w:ascii="宋体" w:hAnsi="宋体" w:cs="宋体"/>
          <w:szCs w:val="21"/>
          <w:u w:val="single"/>
        </w:rPr>
        <w:t xml:space="preserve">  </w:t>
      </w:r>
      <w:r>
        <w:rPr>
          <w:rFonts w:hint="eastAsia" w:ascii="宋体" w:hAnsi="宋体" w:cs="宋体"/>
          <w:bCs/>
          <w:szCs w:val="21"/>
        </w:rPr>
        <w:t>。</w:t>
      </w:r>
    </w:p>
    <w:p>
      <w:pPr>
        <w:spacing w:line="360" w:lineRule="auto"/>
        <w:ind w:firstLine="411" w:firstLineChars="196"/>
        <w:rPr>
          <w:rFonts w:ascii="宋体" w:hAnsi="宋体" w:cs="宋体"/>
          <w:bCs/>
          <w:szCs w:val="21"/>
        </w:rPr>
      </w:pPr>
      <w:r>
        <w:rPr>
          <w:rFonts w:hint="eastAsia" w:ascii="宋体" w:hAnsi="宋体" w:cs="宋体"/>
          <w:bCs/>
          <w:szCs w:val="21"/>
        </w:rPr>
        <w:t>5.工程内容：</w:t>
      </w:r>
      <w:r>
        <w:rPr>
          <w:rFonts w:hint="eastAsia" w:ascii="宋体" w:hAnsi="宋体" w:cs="宋体"/>
          <w:szCs w:val="21"/>
          <w:u w:val="single"/>
        </w:rPr>
        <w:t></w:t>
      </w:r>
      <w:r>
        <w:rPr>
          <w:rFonts w:hint="eastAsia" w:ascii="宋体" w:hAnsi="宋体" w:cs="宋体"/>
          <w:szCs w:val="21"/>
          <w:u w:val="single"/>
          <w:lang w:val="en-US" w:eastAsia="zh-CN"/>
        </w:rPr>
        <w:t xml:space="preserve">                    </w:t>
      </w:r>
      <w:r>
        <w:rPr>
          <w:rFonts w:hint="eastAsia" w:ascii="宋体" w:hAnsi="宋体" w:cs="宋体"/>
          <w:szCs w:val="21"/>
          <w:u w:val="single"/>
        </w:rPr>
        <w:t xml:space="preserve">  </w:t>
      </w:r>
      <w:r>
        <w:rPr>
          <w:rFonts w:hint="eastAsia" w:ascii="宋体" w:hAnsi="宋体" w:cs="宋体"/>
          <w:bCs/>
          <w:szCs w:val="21"/>
        </w:rPr>
        <w:t>。</w:t>
      </w:r>
    </w:p>
    <w:p>
      <w:pPr>
        <w:spacing w:line="360" w:lineRule="auto"/>
        <w:ind w:firstLine="411" w:firstLineChars="196"/>
        <w:rPr>
          <w:rFonts w:ascii="宋体" w:hAnsi="宋体" w:cs="宋体"/>
          <w:bCs/>
          <w:szCs w:val="21"/>
        </w:rPr>
      </w:pPr>
      <w:r>
        <w:rPr>
          <w:rFonts w:hint="eastAsia" w:ascii="宋体" w:hAnsi="宋体" w:cs="宋体"/>
          <w:szCs w:val="21"/>
        </w:rPr>
        <w:t>群体工程应附《承包人承揽工程项目一览表》（附件1）。</w:t>
      </w:r>
    </w:p>
    <w:p>
      <w:pPr>
        <w:spacing w:line="360" w:lineRule="auto"/>
        <w:ind w:firstLine="411" w:firstLineChars="196"/>
        <w:rPr>
          <w:rFonts w:ascii="宋体" w:hAnsi="宋体" w:cs="宋体"/>
          <w:szCs w:val="21"/>
        </w:rPr>
      </w:pPr>
      <w:r>
        <w:rPr>
          <w:rFonts w:hint="eastAsia" w:ascii="宋体" w:hAnsi="宋体" w:cs="宋体"/>
          <w:bCs/>
          <w:szCs w:val="21"/>
        </w:rPr>
        <w:t>6.工程承包范围：</w:t>
      </w:r>
      <w:r>
        <w:rPr>
          <w:rFonts w:hint="eastAsia" w:ascii="宋体" w:hAnsi="宋体" w:cs="宋体"/>
          <w:szCs w:val="21"/>
          <w:u w:val="single"/>
        </w:rPr>
        <w:t></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w:t>
      </w:r>
    </w:p>
    <w:p>
      <w:pPr>
        <w:keepNext/>
        <w:keepLines/>
        <w:spacing w:before="120" w:after="120" w:line="360" w:lineRule="auto"/>
        <w:outlineLvl w:val="3"/>
        <w:rPr>
          <w:rFonts w:ascii="宋体" w:hAnsi="宋体" w:cs="宋体"/>
          <w:b/>
          <w:szCs w:val="21"/>
        </w:rPr>
      </w:pPr>
      <w:bookmarkStart w:id="156" w:name="_Toc351203482"/>
      <w:r>
        <w:rPr>
          <w:rFonts w:hint="eastAsia" w:ascii="宋体" w:hAnsi="宋体" w:cs="宋体"/>
          <w:b/>
          <w:szCs w:val="21"/>
        </w:rPr>
        <w:t>二、合同工期</w:t>
      </w:r>
      <w:bookmarkEnd w:id="156"/>
    </w:p>
    <w:p>
      <w:pPr>
        <w:spacing w:line="360" w:lineRule="auto"/>
        <w:ind w:firstLine="459"/>
        <w:rPr>
          <w:rFonts w:ascii="宋体" w:hAnsi="宋体" w:cs="宋体"/>
          <w:szCs w:val="21"/>
        </w:rPr>
      </w:pPr>
      <w:r>
        <w:rPr>
          <w:rFonts w:hint="eastAsia" w:ascii="宋体" w:hAnsi="宋体" w:cs="宋体"/>
          <w:szCs w:val="21"/>
        </w:rPr>
        <w:t>计划开工日期：</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p>
    <w:p>
      <w:pPr>
        <w:spacing w:line="360" w:lineRule="auto"/>
        <w:ind w:firstLine="459"/>
        <w:rPr>
          <w:rFonts w:ascii="宋体" w:hAnsi="宋体" w:cs="宋体"/>
          <w:szCs w:val="21"/>
        </w:rPr>
      </w:pPr>
      <w:r>
        <w:rPr>
          <w:rFonts w:hint="eastAsia" w:ascii="宋体" w:hAnsi="宋体" w:cs="宋体"/>
          <w:szCs w:val="21"/>
        </w:rPr>
        <w:t>计划竣工日期：</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p>
    <w:p>
      <w:pPr>
        <w:spacing w:line="360" w:lineRule="auto"/>
        <w:ind w:firstLine="459"/>
        <w:rPr>
          <w:rFonts w:ascii="宋体" w:hAnsi="宋体" w:cs="宋体"/>
          <w:szCs w:val="21"/>
        </w:rPr>
      </w:pPr>
      <w:r>
        <w:rPr>
          <w:rFonts w:hint="eastAsia" w:ascii="宋体" w:hAnsi="宋体" w:cs="宋体"/>
          <w:szCs w:val="21"/>
        </w:rPr>
        <w:t>工期总日历天数：</w:t>
      </w:r>
      <w:r>
        <w:rPr>
          <w:rFonts w:hint="eastAsia" w:ascii="宋体" w:hAnsi="宋体" w:cs="宋体"/>
          <w:szCs w:val="21"/>
          <w:u w:val="single"/>
        </w:rPr>
        <w:t></w:t>
      </w:r>
      <w:r>
        <w:rPr>
          <w:rFonts w:hint="eastAsia" w:ascii="宋体" w:hAnsi="宋体" w:cs="宋体"/>
          <w:szCs w:val="21"/>
        </w:rPr>
        <w:t>天。工期总日历天数与根据前述计划开竣工日期计算的工期天数不一致的，以工期总日历天数为准。</w:t>
      </w:r>
    </w:p>
    <w:p>
      <w:pPr>
        <w:keepNext/>
        <w:keepLines/>
        <w:spacing w:before="120" w:after="120" w:line="360" w:lineRule="auto"/>
        <w:outlineLvl w:val="3"/>
        <w:rPr>
          <w:rFonts w:ascii="宋体" w:hAnsi="宋体" w:cs="宋体"/>
          <w:b/>
          <w:szCs w:val="21"/>
        </w:rPr>
      </w:pPr>
      <w:bookmarkStart w:id="157" w:name="_Toc351203483"/>
      <w:r>
        <w:rPr>
          <w:rFonts w:hint="eastAsia" w:ascii="宋体" w:hAnsi="宋体" w:cs="宋体"/>
          <w:b/>
          <w:szCs w:val="21"/>
        </w:rPr>
        <w:t>三、质量标准</w:t>
      </w:r>
      <w:bookmarkEnd w:id="157"/>
    </w:p>
    <w:p>
      <w:pPr>
        <w:spacing w:line="360" w:lineRule="auto"/>
        <w:ind w:firstLine="459"/>
        <w:rPr>
          <w:rFonts w:ascii="宋体" w:hAnsi="宋体" w:cs="宋体"/>
          <w:szCs w:val="21"/>
        </w:rPr>
      </w:pPr>
      <w:r>
        <w:rPr>
          <w:rFonts w:hint="eastAsia" w:ascii="宋体" w:hAnsi="宋体" w:cs="宋体"/>
          <w:szCs w:val="21"/>
        </w:rPr>
        <w:t>工程质量符合</w:t>
      </w:r>
      <w:r>
        <w:rPr>
          <w:rFonts w:hint="eastAsia" w:ascii="宋体" w:hAnsi="宋体" w:cs="宋体"/>
          <w:szCs w:val="21"/>
          <w:u w:val="single"/>
        </w:rPr>
        <w:t>            </w:t>
      </w:r>
      <w:r>
        <w:rPr>
          <w:rFonts w:hint="eastAsia" w:ascii="宋体" w:hAnsi="宋体" w:cs="宋体"/>
          <w:szCs w:val="21"/>
        </w:rPr>
        <w:t>标准。</w:t>
      </w:r>
    </w:p>
    <w:p>
      <w:pPr>
        <w:keepNext/>
        <w:keepLines/>
        <w:spacing w:before="120" w:after="120" w:line="360" w:lineRule="auto"/>
        <w:outlineLvl w:val="3"/>
        <w:rPr>
          <w:rFonts w:ascii="宋体" w:hAnsi="宋体" w:cs="宋体"/>
          <w:b/>
          <w:szCs w:val="21"/>
        </w:rPr>
      </w:pPr>
      <w:bookmarkStart w:id="158" w:name="_Toc351203484"/>
      <w:r>
        <w:rPr>
          <w:rFonts w:hint="eastAsia" w:ascii="宋体" w:hAnsi="宋体" w:cs="宋体"/>
          <w:b/>
          <w:szCs w:val="21"/>
        </w:rPr>
        <w:t>四、签约合同价与合同价格形式</w:t>
      </w:r>
      <w:bookmarkEnd w:id="158"/>
      <w:r>
        <w:rPr>
          <w:rFonts w:hint="eastAsia" w:ascii="宋体" w:hAnsi="宋体" w:cs="宋体"/>
          <w:b/>
          <w:szCs w:val="21"/>
        </w:rPr>
        <w:tab/>
      </w:r>
    </w:p>
    <w:p>
      <w:pPr>
        <w:spacing w:line="360" w:lineRule="auto"/>
        <w:ind w:firstLine="480"/>
        <w:rPr>
          <w:rFonts w:ascii="宋体" w:hAnsi="宋体" w:cs="宋体"/>
          <w:szCs w:val="21"/>
        </w:rPr>
      </w:pPr>
      <w:r>
        <w:rPr>
          <w:rFonts w:hint="eastAsia" w:ascii="宋体" w:hAnsi="宋体" w:cs="宋体"/>
          <w:szCs w:val="21"/>
        </w:rPr>
        <w:t>1.签约合同价为：</w:t>
      </w:r>
    </w:p>
    <w:p>
      <w:pPr>
        <w:spacing w:line="360" w:lineRule="auto"/>
        <w:ind w:firstLine="525" w:firstLineChars="25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auto"/>
        <w:ind w:firstLine="480"/>
        <w:rPr>
          <w:rFonts w:ascii="宋体" w:hAnsi="宋体" w:cs="宋体"/>
          <w:szCs w:val="21"/>
        </w:rPr>
      </w:pPr>
      <w:r>
        <w:rPr>
          <w:rFonts w:hint="eastAsia" w:ascii="宋体" w:hAnsi="宋体" w:cs="宋体"/>
          <w:szCs w:val="21"/>
        </w:rPr>
        <w:t>其中：（1）安全文明施工费：</w:t>
      </w:r>
    </w:p>
    <w:p>
      <w:pPr>
        <w:spacing w:line="360" w:lineRule="auto"/>
        <w:ind w:firstLine="1155" w:firstLineChars="55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auto"/>
        <w:ind w:firstLine="1104" w:firstLineChars="526"/>
        <w:rPr>
          <w:rFonts w:ascii="宋体" w:hAnsi="宋体" w:cs="宋体"/>
          <w:szCs w:val="21"/>
        </w:rPr>
      </w:pPr>
      <w:r>
        <w:rPr>
          <w:rFonts w:hint="eastAsia" w:ascii="宋体" w:hAnsi="宋体" w:cs="宋体"/>
          <w:szCs w:val="21"/>
        </w:rPr>
        <w:t>（2）材料和工程设备暂估价金额：</w:t>
      </w:r>
    </w:p>
    <w:p>
      <w:pPr>
        <w:spacing w:line="360" w:lineRule="auto"/>
        <w:ind w:firstLine="1155" w:firstLineChars="55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auto"/>
        <w:ind w:firstLine="688" w:firstLineChars="328"/>
        <w:rPr>
          <w:rFonts w:ascii="宋体" w:hAnsi="宋体" w:cs="宋体"/>
          <w:szCs w:val="21"/>
        </w:rPr>
      </w:pPr>
      <w:r>
        <w:rPr>
          <w:rFonts w:hint="eastAsia" w:ascii="宋体" w:hAnsi="宋体" w:cs="宋体"/>
          <w:szCs w:val="21"/>
        </w:rPr>
        <w:t>（3）专业工程暂估价金额：</w:t>
      </w:r>
    </w:p>
    <w:p>
      <w:pPr>
        <w:spacing w:line="360" w:lineRule="auto"/>
        <w:ind w:firstLine="1155" w:firstLineChars="55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auto"/>
        <w:ind w:firstLine="688" w:firstLineChars="328"/>
        <w:rPr>
          <w:rFonts w:ascii="宋体" w:hAnsi="宋体" w:cs="宋体"/>
          <w:szCs w:val="21"/>
        </w:rPr>
      </w:pPr>
      <w:r>
        <w:rPr>
          <w:rFonts w:hint="eastAsia" w:ascii="宋体" w:hAnsi="宋体" w:cs="宋体"/>
          <w:szCs w:val="21"/>
        </w:rPr>
        <w:t>（4）暂列金额：</w:t>
      </w:r>
    </w:p>
    <w:p>
      <w:pPr>
        <w:spacing w:line="360" w:lineRule="auto"/>
        <w:ind w:firstLine="1155" w:firstLineChars="55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auto"/>
        <w:ind w:firstLine="480"/>
        <w:rPr>
          <w:rFonts w:ascii="宋体" w:hAnsi="宋体" w:cs="宋体"/>
          <w:szCs w:val="21"/>
        </w:rPr>
      </w:pPr>
      <w:r>
        <w:rPr>
          <w:rFonts w:hint="eastAsia" w:ascii="宋体" w:hAnsi="宋体" w:cs="宋体"/>
          <w:szCs w:val="21"/>
        </w:rPr>
        <w:t>2.合同价格形式：</w:t>
      </w:r>
      <w:r>
        <w:rPr>
          <w:rFonts w:hint="eastAsia" w:ascii="宋体" w:hAnsi="宋体" w:cs="宋体"/>
          <w:szCs w:val="21"/>
          <w:u w:val="single"/>
        </w:rPr>
        <w:t xml:space="preserve">      固定单合同价                    </w:t>
      </w:r>
      <w:r>
        <w:rPr>
          <w:rFonts w:hint="eastAsia" w:ascii="宋体" w:hAnsi="宋体" w:cs="宋体"/>
          <w:szCs w:val="21"/>
        </w:rPr>
        <w:t>。</w:t>
      </w:r>
    </w:p>
    <w:p>
      <w:pPr>
        <w:keepNext/>
        <w:keepLines/>
        <w:spacing w:before="120" w:after="120" w:line="360" w:lineRule="auto"/>
        <w:outlineLvl w:val="3"/>
        <w:rPr>
          <w:rFonts w:ascii="宋体" w:hAnsi="宋体" w:cs="宋体"/>
          <w:b/>
          <w:bCs/>
          <w:szCs w:val="21"/>
        </w:rPr>
      </w:pPr>
      <w:bookmarkStart w:id="159" w:name="_Toc351203485"/>
      <w:r>
        <w:rPr>
          <w:rFonts w:hint="eastAsia" w:ascii="宋体" w:hAnsi="宋体" w:cs="宋体"/>
          <w:b/>
          <w:bCs/>
          <w:szCs w:val="21"/>
        </w:rPr>
        <w:t>五、</w:t>
      </w:r>
      <w:bookmarkEnd w:id="159"/>
      <w:r>
        <w:rPr>
          <w:rFonts w:hint="eastAsia" w:ascii="宋体" w:hAnsi="宋体" w:cs="宋体"/>
          <w:b/>
          <w:bCs/>
          <w:szCs w:val="21"/>
        </w:rPr>
        <w:t>项目经理</w:t>
      </w:r>
    </w:p>
    <w:p>
      <w:pPr>
        <w:spacing w:line="360" w:lineRule="auto"/>
        <w:ind w:firstLine="480"/>
        <w:rPr>
          <w:rFonts w:ascii="宋体" w:hAnsi="宋体" w:cs="宋体"/>
          <w:szCs w:val="21"/>
        </w:rPr>
      </w:pPr>
      <w:r>
        <w:rPr>
          <w:rFonts w:hint="eastAsia" w:ascii="宋体" w:hAnsi="宋体" w:cs="宋体"/>
          <w:szCs w:val="21"/>
        </w:rPr>
        <w:t>承包人</w:t>
      </w:r>
      <w:r>
        <w:rPr>
          <w:rFonts w:hint="eastAsia" w:ascii="宋体" w:hAnsi="宋体" w:cs="宋体"/>
          <w:b/>
          <w:bCs/>
          <w:szCs w:val="21"/>
        </w:rPr>
        <w:t>项目经理</w:t>
      </w:r>
      <w:r>
        <w:rPr>
          <w:rFonts w:hint="eastAsia" w:ascii="宋体" w:hAnsi="宋体" w:cs="宋体"/>
          <w:szCs w:val="21"/>
        </w:rPr>
        <w:t>：</w:t>
      </w:r>
      <w:r>
        <w:rPr>
          <w:rFonts w:hint="eastAsia" w:ascii="宋体" w:hAnsi="宋体" w:cs="宋体"/>
          <w:szCs w:val="21"/>
          <w:u w:val="single"/>
        </w:rPr>
        <w:t xml:space="preserve">                          </w:t>
      </w:r>
      <w:r>
        <w:rPr>
          <w:rFonts w:hint="eastAsia" w:ascii="宋体" w:hAnsi="宋体" w:cs="宋体"/>
          <w:szCs w:val="21"/>
        </w:rPr>
        <w:t>。</w:t>
      </w:r>
    </w:p>
    <w:p>
      <w:pPr>
        <w:keepNext/>
        <w:keepLines/>
        <w:spacing w:before="120" w:after="120" w:line="360" w:lineRule="auto"/>
        <w:outlineLvl w:val="3"/>
        <w:rPr>
          <w:rFonts w:ascii="宋体" w:hAnsi="宋体" w:cs="宋体"/>
          <w:b/>
          <w:szCs w:val="21"/>
        </w:rPr>
      </w:pPr>
      <w:bookmarkStart w:id="160" w:name="_Toc351203486"/>
      <w:r>
        <w:rPr>
          <w:rFonts w:hint="eastAsia" w:ascii="宋体" w:hAnsi="宋体" w:cs="宋体"/>
          <w:b/>
          <w:szCs w:val="21"/>
        </w:rPr>
        <w:t>六、合同文件构成</w:t>
      </w:r>
      <w:bookmarkEnd w:id="160"/>
    </w:p>
    <w:p>
      <w:pPr>
        <w:spacing w:line="360" w:lineRule="auto"/>
        <w:ind w:firstLine="480"/>
        <w:rPr>
          <w:rFonts w:ascii="宋体" w:hAnsi="宋体" w:cs="宋体"/>
          <w:bCs/>
          <w:szCs w:val="21"/>
        </w:rPr>
      </w:pPr>
      <w:r>
        <w:rPr>
          <w:rFonts w:hint="eastAsia" w:ascii="宋体" w:hAnsi="宋体" w:cs="宋体"/>
          <w:bCs/>
          <w:szCs w:val="21"/>
        </w:rPr>
        <w:t>本协议书与下列文件一起构成合同文件：</w:t>
      </w:r>
    </w:p>
    <w:p>
      <w:pPr>
        <w:autoSpaceDE w:val="0"/>
        <w:autoSpaceDN w:val="0"/>
        <w:adjustRightInd w:val="0"/>
        <w:spacing w:line="360" w:lineRule="auto"/>
        <w:ind w:firstLine="480"/>
        <w:jc w:val="left"/>
        <w:rPr>
          <w:rFonts w:ascii="宋体" w:hAnsi="宋体" w:cs="宋体"/>
          <w:szCs w:val="21"/>
        </w:rPr>
      </w:pPr>
      <w:r>
        <w:rPr>
          <w:rFonts w:hint="eastAsia" w:ascii="宋体" w:hAnsi="宋体" w:cs="宋体"/>
          <w:szCs w:val="21"/>
        </w:rPr>
        <w:t>（1）中标通知书（如果有）；</w:t>
      </w:r>
    </w:p>
    <w:p>
      <w:pPr>
        <w:autoSpaceDE w:val="0"/>
        <w:autoSpaceDN w:val="0"/>
        <w:adjustRightInd w:val="0"/>
        <w:spacing w:line="360" w:lineRule="auto"/>
        <w:ind w:firstLine="480"/>
        <w:jc w:val="left"/>
        <w:rPr>
          <w:rFonts w:ascii="宋体" w:hAnsi="宋体" w:cs="宋体"/>
          <w:szCs w:val="21"/>
        </w:rPr>
      </w:pPr>
      <w:r>
        <w:rPr>
          <w:rFonts w:hint="eastAsia" w:ascii="宋体" w:hAnsi="宋体" w:cs="宋体"/>
          <w:szCs w:val="21"/>
        </w:rPr>
        <w:t xml:space="preserve">（2）投标函及其附录（如果有）； </w:t>
      </w:r>
    </w:p>
    <w:p>
      <w:pPr>
        <w:autoSpaceDE w:val="0"/>
        <w:autoSpaceDN w:val="0"/>
        <w:adjustRightInd w:val="0"/>
        <w:spacing w:line="360" w:lineRule="auto"/>
        <w:ind w:firstLine="480"/>
        <w:jc w:val="left"/>
        <w:rPr>
          <w:rFonts w:ascii="宋体" w:hAnsi="宋体" w:cs="宋体"/>
          <w:szCs w:val="21"/>
        </w:rPr>
      </w:pPr>
      <w:r>
        <w:rPr>
          <w:rFonts w:hint="eastAsia" w:ascii="宋体" w:hAnsi="宋体" w:cs="宋体"/>
          <w:szCs w:val="21"/>
        </w:rPr>
        <w:t>（3）专用合同条款及其附件；</w:t>
      </w:r>
    </w:p>
    <w:p>
      <w:pPr>
        <w:autoSpaceDE w:val="0"/>
        <w:autoSpaceDN w:val="0"/>
        <w:adjustRightInd w:val="0"/>
        <w:spacing w:line="360" w:lineRule="auto"/>
        <w:ind w:firstLine="480"/>
        <w:jc w:val="left"/>
        <w:rPr>
          <w:rFonts w:ascii="宋体" w:hAnsi="宋体" w:cs="宋体"/>
          <w:szCs w:val="21"/>
        </w:rPr>
      </w:pPr>
      <w:r>
        <w:rPr>
          <w:rFonts w:hint="eastAsia" w:ascii="宋体" w:hAnsi="宋体" w:cs="宋体"/>
          <w:szCs w:val="21"/>
        </w:rPr>
        <w:t>（4）通用合同条款；</w:t>
      </w:r>
    </w:p>
    <w:p>
      <w:pPr>
        <w:autoSpaceDE w:val="0"/>
        <w:autoSpaceDN w:val="0"/>
        <w:adjustRightInd w:val="0"/>
        <w:spacing w:line="360" w:lineRule="auto"/>
        <w:ind w:firstLine="480"/>
        <w:jc w:val="left"/>
        <w:rPr>
          <w:rFonts w:ascii="宋体" w:hAnsi="宋体" w:cs="宋体"/>
          <w:szCs w:val="21"/>
        </w:rPr>
      </w:pPr>
      <w:r>
        <w:rPr>
          <w:rFonts w:hint="eastAsia" w:ascii="宋体" w:hAnsi="宋体" w:cs="宋体"/>
          <w:szCs w:val="21"/>
        </w:rPr>
        <w:t>（5）技术标准和要求；</w:t>
      </w:r>
    </w:p>
    <w:p>
      <w:pPr>
        <w:autoSpaceDE w:val="0"/>
        <w:autoSpaceDN w:val="0"/>
        <w:adjustRightInd w:val="0"/>
        <w:spacing w:line="360" w:lineRule="auto"/>
        <w:ind w:firstLine="480"/>
        <w:jc w:val="left"/>
        <w:rPr>
          <w:rFonts w:ascii="宋体" w:hAnsi="宋体" w:cs="宋体"/>
          <w:szCs w:val="21"/>
        </w:rPr>
      </w:pPr>
      <w:r>
        <w:rPr>
          <w:rFonts w:hint="eastAsia" w:ascii="宋体" w:hAnsi="宋体" w:cs="宋体"/>
          <w:szCs w:val="21"/>
        </w:rPr>
        <w:t>（6）图纸；</w:t>
      </w:r>
    </w:p>
    <w:p>
      <w:pPr>
        <w:autoSpaceDE w:val="0"/>
        <w:autoSpaceDN w:val="0"/>
        <w:adjustRightInd w:val="0"/>
        <w:spacing w:line="360" w:lineRule="auto"/>
        <w:ind w:firstLine="480"/>
        <w:jc w:val="left"/>
        <w:rPr>
          <w:rFonts w:ascii="宋体" w:hAnsi="宋体" w:cs="宋体"/>
          <w:szCs w:val="21"/>
        </w:rPr>
      </w:pPr>
      <w:r>
        <w:rPr>
          <w:rFonts w:hint="eastAsia" w:ascii="宋体" w:hAnsi="宋体" w:cs="宋体"/>
          <w:szCs w:val="21"/>
        </w:rPr>
        <w:t>（7）已标价工程量清单或预算书；</w:t>
      </w:r>
    </w:p>
    <w:p>
      <w:pPr>
        <w:autoSpaceDE w:val="0"/>
        <w:autoSpaceDN w:val="0"/>
        <w:adjustRightInd w:val="0"/>
        <w:spacing w:line="360" w:lineRule="auto"/>
        <w:ind w:firstLine="480"/>
        <w:jc w:val="left"/>
        <w:rPr>
          <w:rFonts w:ascii="宋体" w:hAnsi="宋体" w:cs="宋体"/>
          <w:szCs w:val="21"/>
        </w:rPr>
      </w:pPr>
      <w:r>
        <w:rPr>
          <w:rFonts w:hint="eastAsia" w:ascii="宋体" w:hAnsi="宋体" w:cs="宋体"/>
          <w:szCs w:val="21"/>
        </w:rPr>
        <w:t>（8）其他合同文件。</w:t>
      </w:r>
    </w:p>
    <w:p>
      <w:pPr>
        <w:autoSpaceDE w:val="0"/>
        <w:autoSpaceDN w:val="0"/>
        <w:adjustRightInd w:val="0"/>
        <w:spacing w:line="360" w:lineRule="auto"/>
        <w:ind w:firstLine="480"/>
        <w:jc w:val="left"/>
        <w:rPr>
          <w:rFonts w:ascii="宋体" w:hAnsi="宋体" w:cs="宋体"/>
          <w:szCs w:val="21"/>
        </w:rPr>
      </w:pPr>
      <w:r>
        <w:rPr>
          <w:rFonts w:hint="eastAsia" w:ascii="宋体" w:hAnsi="宋体" w:cs="宋体"/>
          <w:szCs w:val="21"/>
        </w:rPr>
        <w:t>在合同订立及履行过程中形成的与合同有关的文件均构成合同文件组成部分。</w:t>
      </w:r>
    </w:p>
    <w:p>
      <w:pPr>
        <w:autoSpaceDE w:val="0"/>
        <w:autoSpaceDN w:val="0"/>
        <w:adjustRightInd w:val="0"/>
        <w:spacing w:line="360" w:lineRule="auto"/>
        <w:ind w:firstLine="480"/>
        <w:jc w:val="left"/>
        <w:rPr>
          <w:rFonts w:ascii="宋体" w:hAnsi="宋体" w:cs="宋体"/>
          <w:szCs w:val="21"/>
        </w:rPr>
      </w:pPr>
      <w:r>
        <w:rPr>
          <w:rFonts w:hint="eastAsia" w:ascii="宋体" w:hAnsi="宋体" w:cs="宋体"/>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宋体" w:hAnsi="宋体" w:cs="宋体"/>
          <w:b/>
          <w:szCs w:val="21"/>
        </w:rPr>
      </w:pPr>
      <w:bookmarkStart w:id="161" w:name="_Toc351203487"/>
      <w:r>
        <w:rPr>
          <w:rFonts w:hint="eastAsia" w:ascii="宋体" w:hAnsi="宋体" w:cs="宋体"/>
          <w:b/>
          <w:szCs w:val="21"/>
        </w:rPr>
        <w:t>七、承诺</w:t>
      </w:r>
      <w:bookmarkEnd w:id="161"/>
    </w:p>
    <w:p>
      <w:pPr>
        <w:spacing w:line="360" w:lineRule="auto"/>
        <w:ind w:firstLine="480"/>
        <w:rPr>
          <w:rFonts w:ascii="宋体" w:hAnsi="宋体" w:cs="宋体"/>
          <w:bCs/>
          <w:szCs w:val="21"/>
        </w:rPr>
      </w:pPr>
      <w:r>
        <w:rPr>
          <w:rFonts w:hint="eastAsia" w:ascii="宋体" w:hAnsi="宋体" w:cs="宋体"/>
          <w:bCs/>
          <w:szCs w:val="21"/>
        </w:rPr>
        <w:t>1.发包人承诺按照法律规定履行项目审批手续、筹集工程建设资金并按照合同约定的期限和方式支付合同价款。</w:t>
      </w:r>
    </w:p>
    <w:p>
      <w:pPr>
        <w:spacing w:line="360" w:lineRule="auto"/>
        <w:ind w:firstLine="480"/>
        <w:rPr>
          <w:rFonts w:ascii="宋体" w:hAnsi="宋体" w:cs="宋体"/>
          <w:bCs/>
          <w:szCs w:val="21"/>
        </w:rPr>
      </w:pPr>
      <w:r>
        <w:rPr>
          <w:rFonts w:hint="eastAsia" w:ascii="宋体" w:hAnsi="宋体" w:cs="宋体"/>
          <w:bCs/>
          <w:szCs w:val="21"/>
        </w:rPr>
        <w:t>2.承包人承诺按照法律规定及合同约定组织完成工程施工，确保工程质量和安全，不进行转包及违法分包，并在缺陷责任期及保修期内承担相应的工程维修责任。</w:t>
      </w:r>
    </w:p>
    <w:p>
      <w:pPr>
        <w:spacing w:line="360" w:lineRule="auto"/>
        <w:ind w:firstLine="480"/>
        <w:rPr>
          <w:rFonts w:ascii="宋体" w:hAnsi="宋体" w:cs="宋体"/>
          <w:bCs/>
          <w:szCs w:val="21"/>
        </w:rPr>
      </w:pPr>
      <w:r>
        <w:rPr>
          <w:rFonts w:hint="eastAsia" w:ascii="宋体" w:hAnsi="宋体" w:cs="宋体"/>
          <w:bCs/>
          <w:szCs w:val="21"/>
        </w:rPr>
        <w:t>3.发包人和承包人通过招投标形式签订合同的，双方理解并承诺不再就同一工程另行签订与合同实质性内容相背离的协议。</w:t>
      </w:r>
    </w:p>
    <w:p>
      <w:pPr>
        <w:keepNext/>
        <w:keepLines/>
        <w:spacing w:before="120" w:after="120" w:line="360" w:lineRule="auto"/>
        <w:outlineLvl w:val="3"/>
        <w:rPr>
          <w:rFonts w:ascii="宋体" w:hAnsi="宋体" w:cs="宋体"/>
          <w:b/>
          <w:szCs w:val="21"/>
        </w:rPr>
      </w:pPr>
      <w:bookmarkStart w:id="162" w:name="_Toc351203488"/>
      <w:r>
        <w:rPr>
          <w:rFonts w:hint="eastAsia" w:ascii="宋体" w:hAnsi="宋体" w:cs="宋体"/>
          <w:b/>
          <w:szCs w:val="21"/>
        </w:rPr>
        <w:t>八、词语含义</w:t>
      </w:r>
      <w:bookmarkEnd w:id="162"/>
    </w:p>
    <w:p>
      <w:pPr>
        <w:spacing w:line="360" w:lineRule="auto"/>
        <w:ind w:firstLine="480"/>
        <w:rPr>
          <w:rFonts w:ascii="宋体" w:hAnsi="宋体" w:cs="宋体"/>
          <w:bCs/>
          <w:szCs w:val="21"/>
        </w:rPr>
      </w:pPr>
      <w:r>
        <w:rPr>
          <w:rFonts w:hint="eastAsia" w:ascii="宋体" w:hAnsi="宋体" w:cs="宋体"/>
          <w:bCs/>
          <w:szCs w:val="21"/>
        </w:rPr>
        <w:t>本协议书中词语含义与第二部分通用合同条款中赋予的含义相同。</w:t>
      </w:r>
    </w:p>
    <w:p>
      <w:pPr>
        <w:keepNext/>
        <w:keepLines/>
        <w:spacing w:before="120" w:after="120" w:line="360" w:lineRule="auto"/>
        <w:outlineLvl w:val="3"/>
        <w:rPr>
          <w:rFonts w:ascii="宋体" w:hAnsi="宋体" w:cs="宋体"/>
          <w:b/>
          <w:bCs/>
          <w:szCs w:val="21"/>
        </w:rPr>
      </w:pPr>
      <w:bookmarkStart w:id="163" w:name="_Toc351203489"/>
      <w:r>
        <w:rPr>
          <w:rFonts w:hint="eastAsia" w:ascii="宋体" w:hAnsi="宋体" w:cs="宋体"/>
          <w:b/>
          <w:bCs/>
          <w:szCs w:val="21"/>
          <w:lang w:val="zh-CN"/>
        </w:rPr>
        <w:t>九、签订时间</w:t>
      </w:r>
      <w:bookmarkEnd w:id="163"/>
    </w:p>
    <w:p>
      <w:pPr>
        <w:spacing w:line="360" w:lineRule="auto"/>
        <w:ind w:firstLine="480"/>
        <w:rPr>
          <w:rFonts w:ascii="宋体" w:hAnsi="宋体" w:cs="宋体"/>
          <w:bCs/>
          <w:szCs w:val="21"/>
        </w:rPr>
      </w:pPr>
      <w:r>
        <w:rPr>
          <w:rFonts w:hint="eastAsia" w:ascii="宋体" w:hAnsi="宋体" w:cs="宋体"/>
          <w:bCs/>
          <w:szCs w:val="21"/>
        </w:rPr>
        <w:t>本合同于</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日签订。</w:t>
      </w:r>
    </w:p>
    <w:p>
      <w:pPr>
        <w:keepNext/>
        <w:keepLines/>
        <w:spacing w:before="120" w:after="120" w:line="360" w:lineRule="auto"/>
        <w:outlineLvl w:val="3"/>
        <w:rPr>
          <w:rFonts w:ascii="宋体" w:hAnsi="宋体" w:cs="宋体"/>
          <w:b/>
          <w:szCs w:val="21"/>
        </w:rPr>
      </w:pPr>
      <w:bookmarkStart w:id="164" w:name="_Toc351203490"/>
      <w:r>
        <w:rPr>
          <w:rFonts w:hint="eastAsia" w:ascii="宋体" w:hAnsi="宋体" w:cs="宋体"/>
          <w:b/>
          <w:szCs w:val="21"/>
        </w:rPr>
        <w:t>十、签订地点</w:t>
      </w:r>
      <w:bookmarkEnd w:id="164"/>
    </w:p>
    <w:p>
      <w:pPr>
        <w:spacing w:line="360" w:lineRule="auto"/>
        <w:ind w:firstLine="480"/>
        <w:rPr>
          <w:rFonts w:ascii="宋体" w:hAnsi="宋体" w:cs="宋体"/>
          <w:bCs/>
          <w:szCs w:val="21"/>
        </w:rPr>
      </w:pPr>
      <w:r>
        <w:rPr>
          <w:rFonts w:hint="eastAsia" w:ascii="宋体" w:hAnsi="宋体" w:cs="宋体"/>
          <w:bCs/>
          <w:szCs w:val="21"/>
        </w:rPr>
        <w:t>本合同在</w:t>
      </w:r>
      <w:r>
        <w:rPr>
          <w:rFonts w:hint="eastAsia" w:ascii="宋体" w:hAnsi="宋体" w:cs="宋体"/>
          <w:bCs/>
          <w:szCs w:val="21"/>
          <w:u w:val="single"/>
        </w:rPr>
        <w:t xml:space="preserve">                                    </w:t>
      </w:r>
      <w:r>
        <w:rPr>
          <w:rFonts w:hint="eastAsia" w:ascii="宋体" w:hAnsi="宋体" w:cs="宋体"/>
          <w:bCs/>
          <w:szCs w:val="21"/>
        </w:rPr>
        <w:t>签订。</w:t>
      </w:r>
    </w:p>
    <w:p>
      <w:pPr>
        <w:keepNext/>
        <w:keepLines/>
        <w:spacing w:before="120" w:after="120" w:line="360" w:lineRule="auto"/>
        <w:outlineLvl w:val="3"/>
        <w:rPr>
          <w:rFonts w:ascii="宋体" w:hAnsi="宋体" w:cs="宋体"/>
          <w:b/>
          <w:szCs w:val="21"/>
        </w:rPr>
      </w:pPr>
      <w:bookmarkStart w:id="165" w:name="_Toc351203491"/>
      <w:r>
        <w:rPr>
          <w:rFonts w:hint="eastAsia" w:ascii="宋体" w:hAnsi="宋体" w:cs="宋体"/>
          <w:b/>
          <w:szCs w:val="21"/>
        </w:rPr>
        <w:t>十一、补充协议</w:t>
      </w:r>
      <w:bookmarkEnd w:id="165"/>
    </w:p>
    <w:p>
      <w:pPr>
        <w:spacing w:line="360" w:lineRule="auto"/>
        <w:ind w:firstLine="480"/>
        <w:rPr>
          <w:rFonts w:ascii="宋体" w:hAnsi="宋体" w:cs="宋体"/>
          <w:b/>
          <w:bCs/>
          <w:szCs w:val="21"/>
        </w:rPr>
      </w:pPr>
      <w:r>
        <w:rPr>
          <w:rFonts w:hint="eastAsia" w:ascii="宋体" w:hAnsi="宋体" w:cs="宋体"/>
          <w:bCs/>
          <w:szCs w:val="21"/>
        </w:rPr>
        <w:t>合同未尽事宜，合同当事人另行签订补充协议，补充协议是合同的组成部分。</w:t>
      </w:r>
    </w:p>
    <w:p>
      <w:pPr>
        <w:keepNext/>
        <w:keepLines/>
        <w:spacing w:before="120" w:after="120" w:line="360" w:lineRule="auto"/>
        <w:outlineLvl w:val="3"/>
        <w:rPr>
          <w:rFonts w:ascii="宋体" w:hAnsi="宋体" w:cs="宋体"/>
          <w:b/>
          <w:szCs w:val="21"/>
        </w:rPr>
      </w:pPr>
      <w:bookmarkStart w:id="166" w:name="_Toc351203492"/>
      <w:r>
        <w:rPr>
          <w:rFonts w:hint="eastAsia" w:ascii="宋体" w:hAnsi="宋体" w:cs="宋体"/>
          <w:b/>
          <w:szCs w:val="21"/>
        </w:rPr>
        <w:t>十二、合同生效</w:t>
      </w:r>
      <w:bookmarkEnd w:id="166"/>
    </w:p>
    <w:p>
      <w:pPr>
        <w:spacing w:line="360" w:lineRule="auto"/>
        <w:ind w:firstLine="480"/>
        <w:rPr>
          <w:rFonts w:ascii="宋体" w:hAnsi="宋体" w:cs="宋体"/>
          <w:bCs/>
          <w:szCs w:val="21"/>
        </w:rPr>
      </w:pPr>
      <w:r>
        <w:rPr>
          <w:rFonts w:hint="eastAsia" w:ascii="宋体" w:hAnsi="宋体" w:cs="宋体"/>
          <w:bCs/>
          <w:szCs w:val="21"/>
        </w:rPr>
        <w:t>本合同自</w:t>
      </w:r>
      <w:r>
        <w:rPr>
          <w:rFonts w:hint="eastAsia" w:ascii="宋体" w:hAnsi="宋体" w:cs="宋体"/>
          <w:bCs/>
          <w:szCs w:val="21"/>
          <w:u w:val="single"/>
        </w:rPr>
        <w:t xml:space="preserve">       合同签订之日起                            </w:t>
      </w:r>
      <w:r>
        <w:rPr>
          <w:rFonts w:hint="eastAsia" w:ascii="宋体" w:hAnsi="宋体" w:cs="宋体"/>
          <w:bCs/>
          <w:szCs w:val="21"/>
        </w:rPr>
        <w:t>生效。</w:t>
      </w:r>
    </w:p>
    <w:p>
      <w:pPr>
        <w:keepNext/>
        <w:keepLines/>
        <w:spacing w:before="120" w:after="120" w:line="360" w:lineRule="auto"/>
        <w:outlineLvl w:val="3"/>
        <w:rPr>
          <w:rFonts w:ascii="宋体" w:hAnsi="宋体" w:cs="宋体"/>
          <w:b/>
          <w:szCs w:val="21"/>
        </w:rPr>
      </w:pPr>
      <w:bookmarkStart w:id="167" w:name="_Toc351203493"/>
      <w:r>
        <w:rPr>
          <w:rFonts w:hint="eastAsia" w:ascii="宋体" w:hAnsi="宋体" w:cs="宋体"/>
          <w:b/>
          <w:szCs w:val="21"/>
        </w:rPr>
        <w:t>十三、合同份数</w:t>
      </w:r>
      <w:bookmarkEnd w:id="167"/>
    </w:p>
    <w:p>
      <w:pPr>
        <w:spacing w:line="360" w:lineRule="auto"/>
        <w:ind w:firstLine="480"/>
        <w:rPr>
          <w:rFonts w:hint="eastAsia" w:ascii="宋体" w:hAnsi="宋体" w:cs="宋体"/>
          <w:bCs/>
          <w:szCs w:val="21"/>
        </w:rPr>
      </w:pPr>
      <w:r>
        <w:rPr>
          <w:rFonts w:hint="eastAsia" w:ascii="宋体" w:hAnsi="宋体" w:cs="宋体"/>
          <w:bCs/>
          <w:szCs w:val="21"/>
        </w:rPr>
        <w:t>本合同一式</w:t>
      </w:r>
      <w:r>
        <w:rPr>
          <w:rFonts w:hint="eastAsia" w:ascii="宋体" w:hAnsi="宋体" w:cs="宋体"/>
          <w:bCs/>
          <w:szCs w:val="21"/>
          <w:u w:val="single"/>
        </w:rPr>
        <w:t xml:space="preserve">    </w:t>
      </w:r>
      <w:r>
        <w:rPr>
          <w:rFonts w:hint="eastAsia" w:ascii="宋体" w:hAnsi="宋体" w:cs="宋体"/>
          <w:bCs/>
          <w:szCs w:val="21"/>
        </w:rPr>
        <w:t>份，均具有同等法律效力，发包人执</w:t>
      </w:r>
      <w:r>
        <w:rPr>
          <w:rFonts w:hint="eastAsia" w:ascii="宋体" w:hAnsi="宋体" w:cs="宋体"/>
          <w:bCs/>
          <w:szCs w:val="21"/>
          <w:u w:val="single"/>
        </w:rPr>
        <w:t xml:space="preserve">    </w:t>
      </w:r>
      <w:r>
        <w:rPr>
          <w:rFonts w:hint="eastAsia" w:ascii="宋体" w:hAnsi="宋体" w:cs="宋体"/>
          <w:bCs/>
          <w:szCs w:val="21"/>
        </w:rPr>
        <w:t>份，承包人执</w:t>
      </w:r>
      <w:r>
        <w:rPr>
          <w:rFonts w:hint="eastAsia" w:ascii="宋体" w:hAnsi="宋体" w:cs="宋体"/>
          <w:bCs/>
          <w:szCs w:val="21"/>
          <w:u w:val="single"/>
        </w:rPr>
        <w:t xml:space="preserve">    </w:t>
      </w:r>
      <w:r>
        <w:rPr>
          <w:rFonts w:hint="eastAsia" w:ascii="宋体" w:hAnsi="宋体" w:cs="宋体"/>
          <w:bCs/>
          <w:szCs w:val="21"/>
        </w:rPr>
        <w:t>份。</w:t>
      </w:r>
    </w:p>
    <w:p>
      <w:pPr>
        <w:pStyle w:val="9"/>
      </w:pPr>
    </w:p>
    <w:p>
      <w:pPr>
        <w:spacing w:line="360" w:lineRule="auto"/>
        <w:rPr>
          <w:rFonts w:ascii="宋体" w:hAnsi="宋体" w:cs="宋体"/>
          <w:szCs w:val="21"/>
        </w:rPr>
      </w:pPr>
      <w:r>
        <w:rPr>
          <w:rFonts w:hint="eastAsia" w:ascii="宋体" w:hAnsi="宋体" w:cs="宋体"/>
          <w:szCs w:val="21"/>
        </w:rPr>
        <w:t>发包人：  (公章)             承包人：  (公章)</w:t>
      </w:r>
    </w:p>
    <w:p>
      <w:pPr>
        <w:spacing w:line="360" w:lineRule="auto"/>
        <w:rPr>
          <w:rFonts w:ascii="宋体" w:hAnsi="宋体" w:cs="宋体"/>
          <w:szCs w:val="21"/>
          <w:u w:val="single"/>
        </w:rPr>
      </w:pP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法定代表人或其委托代理人：  法定代表人或其委托代理人：</w:t>
      </w:r>
    </w:p>
    <w:p>
      <w:pPr>
        <w:spacing w:line="360" w:lineRule="auto"/>
        <w:rPr>
          <w:rFonts w:ascii="宋体" w:hAnsi="宋体" w:cs="宋体"/>
          <w:szCs w:val="21"/>
          <w:u w:val="single"/>
        </w:rPr>
      </w:pPr>
      <w:r>
        <w:rPr>
          <w:rFonts w:hint="eastAsia" w:ascii="宋体" w:hAnsi="宋体" w:cs="宋体"/>
          <w:szCs w:val="21"/>
        </w:rPr>
        <w:t>（签字）                    （签字）</w:t>
      </w:r>
    </w:p>
    <w:p>
      <w:pPr>
        <w:tabs>
          <w:tab w:val="left" w:pos="4410"/>
        </w:tabs>
        <w:spacing w:line="360" w:lineRule="auto"/>
        <w:rPr>
          <w:rFonts w:ascii="宋体" w:hAnsi="宋体" w:cs="宋体"/>
          <w:szCs w:val="21"/>
        </w:rPr>
      </w:pPr>
      <w:r>
        <w:rPr>
          <w:rFonts w:hint="eastAsia" w:ascii="宋体" w:hAnsi="宋体" w:cs="宋体"/>
          <w:szCs w:val="21"/>
        </w:rPr>
        <w:t>组织机构代码：</w:t>
      </w:r>
      <w:r>
        <w:rPr>
          <w:rFonts w:hint="eastAsia" w:ascii="宋体" w:hAnsi="宋体" w:cs="宋体"/>
          <w:szCs w:val="21"/>
          <w:u w:val="single"/>
        </w:rPr>
        <w:t xml:space="preserve">       </w:t>
      </w:r>
      <w:r>
        <w:rPr>
          <w:rFonts w:hint="eastAsia" w:ascii="宋体" w:hAnsi="宋体" w:cs="宋体"/>
          <w:szCs w:val="21"/>
        </w:rPr>
        <w:t xml:space="preserve">  组织机构代码：</w:t>
      </w:r>
      <w:r>
        <w:rPr>
          <w:rFonts w:hint="eastAsia" w:ascii="宋体" w:hAnsi="宋体" w:cs="宋体"/>
          <w:szCs w:val="21"/>
          <w:u w:val="single"/>
        </w:rPr>
        <w:t xml:space="preserve">  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地  址：</w:t>
      </w:r>
      <w:r>
        <w:rPr>
          <w:rFonts w:hint="eastAsia" w:ascii="宋体" w:hAnsi="宋体" w:cs="宋体"/>
          <w:szCs w:val="21"/>
          <w:u w:val="single"/>
        </w:rPr>
        <w:t xml:space="preserve">     </w:t>
      </w:r>
      <w:r>
        <w:rPr>
          <w:rFonts w:hint="eastAsia" w:ascii="宋体" w:hAnsi="宋体" w:cs="宋体"/>
          <w:szCs w:val="21"/>
        </w:rPr>
        <w:t xml:space="preserve">  地  址：</w:t>
      </w:r>
      <w:r>
        <w:rPr>
          <w:rFonts w:hint="eastAsia" w:ascii="宋体" w:hAnsi="宋体" w:cs="宋体"/>
          <w:szCs w:val="21"/>
          <w:u w:val="single"/>
        </w:rPr>
        <w:t xml:space="preserve">        </w:t>
      </w:r>
    </w:p>
    <w:p>
      <w:pPr>
        <w:spacing w:line="360" w:lineRule="auto"/>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     </w:t>
      </w:r>
      <w:r>
        <w:rPr>
          <w:rFonts w:hint="eastAsia" w:ascii="宋体" w:hAnsi="宋体" w:cs="宋体"/>
          <w:szCs w:val="21"/>
        </w:rPr>
        <w:t xml:space="preserve">  邮政编码：</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      </w:t>
      </w:r>
      <w:r>
        <w:rPr>
          <w:rFonts w:hint="eastAsia" w:ascii="宋体" w:hAnsi="宋体" w:cs="宋体"/>
          <w:szCs w:val="21"/>
        </w:rPr>
        <w:t xml:space="preserve">  法定代表人：</w:t>
      </w:r>
      <w:r>
        <w:rPr>
          <w:rFonts w:hint="eastAsia" w:ascii="宋体" w:hAnsi="宋体" w:cs="宋体"/>
          <w:szCs w:val="21"/>
          <w:u w:val="single"/>
        </w:rPr>
        <w:t xml:space="preserve">             </w:t>
      </w:r>
    </w:p>
    <w:p>
      <w:pPr>
        <w:spacing w:line="360" w:lineRule="auto"/>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  委托代理人：</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   </w:t>
      </w:r>
    </w:p>
    <w:p>
      <w:pPr>
        <w:spacing w:line="360" w:lineRule="auto"/>
        <w:rPr>
          <w:rFonts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w:t>
      </w:r>
      <w:r>
        <w:rPr>
          <w:rFonts w:hint="eastAsia" w:ascii="宋体" w:hAnsi="宋体" w:cs="宋体"/>
          <w:szCs w:val="21"/>
        </w:rPr>
        <w:t xml:space="preserve">  电子信箱：</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spacing w:line="360" w:lineRule="auto"/>
        <w:rPr>
          <w:rFonts w:ascii="宋体" w:hAnsi="宋体" w:cs="宋体"/>
          <w:szCs w:val="21"/>
        </w:rPr>
        <w:sectPr>
          <w:pgSz w:w="11906" w:h="16838"/>
          <w:pgMar w:top="1418" w:right="1555" w:bottom="1418" w:left="1531" w:header="851" w:footer="992" w:gutter="0"/>
          <w:cols w:space="720" w:num="1"/>
          <w:titlePg/>
          <w:docGrid w:type="lines" w:linePitch="312" w:charSpace="0"/>
        </w:sectPr>
      </w:pPr>
      <w:r>
        <w:rPr>
          <w:rFonts w:hint="eastAsia" w:ascii="宋体" w:hAnsi="宋体" w:cs="宋体"/>
          <w:szCs w:val="21"/>
        </w:rPr>
        <w:t>账  号：</w:t>
      </w:r>
      <w:r>
        <w:rPr>
          <w:rFonts w:hint="eastAsia" w:ascii="宋体" w:hAnsi="宋体" w:cs="宋体"/>
          <w:szCs w:val="21"/>
          <w:u w:val="single"/>
        </w:rPr>
        <w:t xml:space="preserve">       </w:t>
      </w:r>
      <w:r>
        <w:rPr>
          <w:rFonts w:hint="eastAsia" w:ascii="宋体" w:hAnsi="宋体" w:cs="宋体"/>
          <w:szCs w:val="21"/>
        </w:rPr>
        <w:t xml:space="preserve">   账  号：</w:t>
      </w:r>
      <w:r>
        <w:rPr>
          <w:rFonts w:hint="eastAsia" w:ascii="宋体" w:hAnsi="宋体" w:cs="宋体"/>
          <w:szCs w:val="21"/>
          <w:u w:val="single"/>
        </w:rPr>
        <w:t xml:space="preserve">     </w:t>
      </w:r>
    </w:p>
    <w:bookmarkEnd w:id="153"/>
    <w:bookmarkEnd w:id="154"/>
    <w:p>
      <w:pPr>
        <w:pStyle w:val="4"/>
        <w:tabs>
          <w:tab w:val="left" w:pos="482"/>
        </w:tabs>
        <w:rPr>
          <w:rFonts w:asciiTheme="minorEastAsia" w:hAnsiTheme="minorEastAsia" w:eastAsiaTheme="minorEastAsia" w:cstheme="minorEastAsia"/>
          <w:sz w:val="21"/>
          <w:szCs w:val="21"/>
        </w:rPr>
      </w:pPr>
      <w:bookmarkStart w:id="168" w:name="_Toc36236199"/>
      <w:bookmarkStart w:id="169" w:name="_Toc20888"/>
      <w:bookmarkStart w:id="170" w:name="_Toc9048"/>
      <w:r>
        <w:rPr>
          <w:rFonts w:hint="eastAsia" w:asciiTheme="minorEastAsia" w:hAnsiTheme="minorEastAsia" w:eastAsiaTheme="minorEastAsia" w:cstheme="minorEastAsia"/>
          <w:b w:val="0"/>
          <w:sz w:val="21"/>
          <w:szCs w:val="21"/>
        </w:rPr>
        <w:t>第二节 通用合同条款</w:t>
      </w:r>
      <w:bookmarkEnd w:id="168"/>
      <w:bookmarkEnd w:id="169"/>
      <w:bookmarkEnd w:id="170"/>
    </w:p>
    <w:p>
      <w:pPr>
        <w:tabs>
          <w:tab w:val="left" w:pos="0"/>
          <w:tab w:val="left" w:pos="360"/>
          <w:tab w:val="left" w:pos="540"/>
        </w:tabs>
        <w:spacing w:line="360" w:lineRule="auto"/>
        <w:ind w:firstLine="422"/>
        <w:rPr>
          <w:rFonts w:asciiTheme="minorEastAsia" w:hAnsiTheme="minorEastAsia" w:eastAsiaTheme="minorEastAsia" w:cstheme="minorEastAsia"/>
          <w:b/>
          <w:szCs w:val="21"/>
        </w:rPr>
      </w:pPr>
      <w:bookmarkStart w:id="171" w:name="_Toc303538974"/>
      <w:bookmarkEnd w:id="171"/>
      <w:bookmarkStart w:id="172" w:name="_Toc303538975"/>
      <w:bookmarkEnd w:id="172"/>
      <w:bookmarkStart w:id="173" w:name="_Toc303538973"/>
      <w:bookmarkEnd w:id="173"/>
      <w:bookmarkStart w:id="174" w:name="_Toc303538972"/>
      <w:bookmarkEnd w:id="174"/>
      <w:bookmarkStart w:id="175" w:name="_Toc303538976"/>
      <w:bookmarkEnd w:id="175"/>
      <w:r>
        <w:rPr>
          <w:rFonts w:hint="eastAsia" w:asciiTheme="minorEastAsia" w:hAnsiTheme="minorEastAsia" w:eastAsiaTheme="minorEastAsia" w:cstheme="minorEastAsia"/>
          <w:b/>
          <w:szCs w:val="21"/>
        </w:rPr>
        <w:t xml:space="preserve"> </w:t>
      </w:r>
    </w:p>
    <w:p>
      <w:pPr>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通用合同条款直接引用住房城乡建设部和国家工商行政管理总局共同印发的</w:t>
      </w:r>
      <w:r>
        <w:rPr>
          <w:rFonts w:hint="eastAsia" w:asciiTheme="minorEastAsia" w:hAnsiTheme="minorEastAsia" w:eastAsiaTheme="minorEastAsia" w:cstheme="minorEastAsia"/>
          <w:b/>
          <w:bCs/>
          <w:szCs w:val="21"/>
        </w:rPr>
        <w:t>《建设工程施工合同（示范文本）》（GF-2017-0201）</w:t>
      </w:r>
      <w:r>
        <w:rPr>
          <w:rFonts w:hint="eastAsia" w:asciiTheme="minorEastAsia" w:hAnsiTheme="minorEastAsia" w:eastAsiaTheme="minorEastAsia" w:cstheme="minorEastAsia"/>
          <w:szCs w:val="21"/>
        </w:rPr>
        <w:t>第二部分“通用合同条款”。</w:t>
      </w:r>
    </w:p>
    <w:p>
      <w:pPr>
        <w:pStyle w:val="9"/>
        <w:rPr>
          <w:szCs w:val="21"/>
        </w:rPr>
      </w:pPr>
    </w:p>
    <w:p>
      <w:pPr>
        <w:widowControl/>
        <w:spacing w:line="330" w:lineRule="exact"/>
        <w:ind w:firstLine="422" w:firstLineChars="200"/>
        <w:jc w:val="center"/>
        <w:rPr>
          <w:rFonts w:hint="eastAsia" w:ascii="ˎ̥" w:hAnsi="ˎ̥" w:cs="宋体"/>
          <w:b/>
          <w:bCs/>
          <w:kern w:val="0"/>
          <w:szCs w:val="21"/>
        </w:rPr>
      </w:pPr>
      <w:r>
        <w:rPr>
          <w:rFonts w:hint="eastAsia" w:ascii="ˎ̥" w:hAnsi="ˎ̥" w:cs="宋体"/>
          <w:b/>
          <w:bCs/>
          <w:kern w:val="0"/>
          <w:szCs w:val="21"/>
        </w:rPr>
        <w:t>（略）</w:t>
      </w: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4"/>
        <w:tabs>
          <w:tab w:val="left" w:pos="482"/>
        </w:tabs>
        <w:rPr>
          <w:rFonts w:asciiTheme="minorEastAsia" w:hAnsiTheme="minorEastAsia" w:eastAsiaTheme="minorEastAsia" w:cstheme="minorEastAsia"/>
          <w:b w:val="0"/>
          <w:sz w:val="21"/>
          <w:szCs w:val="21"/>
        </w:rPr>
      </w:pPr>
      <w:bookmarkStart w:id="176" w:name="_Toc25196"/>
      <w:bookmarkStart w:id="177" w:name="_Toc30773"/>
      <w:bookmarkStart w:id="178" w:name="_Toc36236200"/>
      <w:r>
        <w:rPr>
          <w:rFonts w:hint="eastAsia" w:asciiTheme="minorEastAsia" w:hAnsiTheme="minorEastAsia" w:eastAsiaTheme="minorEastAsia" w:cstheme="minorEastAsia"/>
          <w:b w:val="0"/>
          <w:sz w:val="21"/>
          <w:szCs w:val="21"/>
        </w:rPr>
        <w:t>第三节 专用合同条款</w:t>
      </w:r>
      <w:bookmarkEnd w:id="176"/>
      <w:bookmarkEnd w:id="177"/>
      <w:bookmarkEnd w:id="178"/>
    </w:p>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179" w:name="_Toc351203633"/>
      <w:r>
        <w:rPr>
          <w:rFonts w:hint="eastAsia" w:asciiTheme="minorEastAsia" w:hAnsiTheme="minorEastAsia" w:eastAsiaTheme="minorEastAsia" w:cstheme="minorEastAsia"/>
          <w:sz w:val="22"/>
          <w:szCs w:val="22"/>
          <w:lang w:val="zh-CN"/>
        </w:rPr>
        <w:t>1. 一般约定</w:t>
      </w:r>
    </w:p>
    <w:p>
      <w:pPr>
        <w:keepNext/>
        <w:keepLines/>
        <w:spacing w:before="120" w:after="120" w:line="360" w:lineRule="auto"/>
        <w:ind w:left="480"/>
        <w:outlineLvl w:val="4"/>
        <w:rPr>
          <w:rFonts w:asciiTheme="minorEastAsia" w:hAnsiTheme="minorEastAsia" w:eastAsiaTheme="minorEastAsia" w:cstheme="minorEastAsia"/>
          <w:b/>
          <w:bCs/>
          <w:sz w:val="22"/>
          <w:szCs w:val="22"/>
          <w:lang w:val="zh-CN"/>
        </w:rPr>
      </w:pPr>
      <w:r>
        <w:rPr>
          <w:rFonts w:hint="eastAsia" w:asciiTheme="minorEastAsia" w:hAnsiTheme="minorEastAsia" w:eastAsiaTheme="minorEastAsia" w:cstheme="minorEastAsia"/>
          <w:sz w:val="22"/>
          <w:szCs w:val="22"/>
          <w:lang w:val="zh-CN"/>
        </w:rPr>
        <w:t>1.1 词语定义</w:t>
      </w:r>
    </w:p>
    <w:p>
      <w:pPr>
        <w:spacing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1.1.1合同</w:t>
      </w:r>
    </w:p>
    <w:p>
      <w:pPr>
        <w:spacing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1.1.1.10其他合同文件包括：</w:t>
      </w:r>
      <w:r>
        <w:rPr>
          <w:rFonts w:hint="eastAsia" w:asciiTheme="minorEastAsia" w:hAnsiTheme="minorEastAsia" w:eastAsiaTheme="minorEastAsia" w:cstheme="minorEastAsia"/>
          <w:sz w:val="22"/>
          <w:szCs w:val="22"/>
          <w:u w:val="single"/>
        </w:rPr>
        <w:t xml:space="preserve">双方在履行合同过程中形成的有效的通知、会议纪要、备忘录、补充文件、指令、传真、电子邮件、变更和洽商等书面形式的文件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1.1.2 合同当事人及其他相关方</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1.1.2.4监理人：</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名    称：</w:t>
      </w:r>
      <w:r>
        <w:rPr>
          <w:rFonts w:hint="eastAsia" w:asciiTheme="minorEastAsia" w:hAnsiTheme="minorEastAsia" w:eastAsiaTheme="minorEastAsia" w:cstheme="minorEastAsia"/>
          <w:sz w:val="22"/>
          <w:szCs w:val="22"/>
          <w:u w:val="single"/>
        </w:rPr>
        <w:t xml:space="preserve">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资质类别和等级：</w:t>
      </w:r>
      <w:r>
        <w:rPr>
          <w:rFonts w:hint="eastAsia" w:asciiTheme="minorEastAsia" w:hAnsiTheme="minorEastAsia" w:eastAsiaTheme="minorEastAsia" w:cstheme="minorEastAsia"/>
          <w:sz w:val="22"/>
          <w:szCs w:val="22"/>
          <w:u w:val="single"/>
        </w:rPr>
        <w:t>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电子信箱：</w:t>
      </w:r>
      <w:r>
        <w:rPr>
          <w:rFonts w:hint="eastAsia" w:asciiTheme="minorEastAsia" w:hAnsiTheme="minorEastAsia" w:eastAsiaTheme="minorEastAsia" w:cstheme="minorEastAsia"/>
          <w:sz w:val="22"/>
          <w:szCs w:val="22"/>
          <w:u w:val="single"/>
        </w:rPr>
        <w:t>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通信地址：</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1.1.2.5 设计人：</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名    称：</w:t>
      </w:r>
      <w:r>
        <w:rPr>
          <w:rFonts w:hint="eastAsia" w:asciiTheme="minorEastAsia" w:hAnsiTheme="minorEastAsia" w:eastAsiaTheme="minorEastAsia" w:cstheme="minorEastAsia"/>
          <w:sz w:val="22"/>
          <w:szCs w:val="22"/>
          <w:u w:val="single"/>
        </w:rPr>
        <w:t xml:space="preserve">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资质类别和等级：</w:t>
      </w:r>
      <w:r>
        <w:rPr>
          <w:rFonts w:hint="eastAsia" w:asciiTheme="minorEastAsia" w:hAnsiTheme="minorEastAsia" w:eastAsiaTheme="minorEastAsia" w:cstheme="minorEastAsia"/>
          <w:sz w:val="22"/>
          <w:szCs w:val="22"/>
          <w:u w:val="single"/>
        </w:rPr>
        <w:t>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sz w:val="22"/>
          <w:szCs w:val="22"/>
          <w:u w:val="single"/>
        </w:rPr>
        <w:t>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电子信箱：</w:t>
      </w:r>
      <w:r>
        <w:rPr>
          <w:rFonts w:hint="eastAsia" w:asciiTheme="minorEastAsia" w:hAnsiTheme="minorEastAsia" w:eastAsiaTheme="minorEastAsia" w:cstheme="minorEastAsia"/>
          <w:sz w:val="22"/>
          <w:szCs w:val="22"/>
          <w:u w:val="single"/>
        </w:rPr>
        <w:t xml:space="preserve">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通信地址：</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1.1.3 工程和设备</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1.1.3.7 作为施工现场组成部分的其他场所包括：</w:t>
      </w:r>
      <w:r>
        <w:rPr>
          <w:rFonts w:hint="eastAsia" w:asciiTheme="minorEastAsia" w:hAnsiTheme="minorEastAsia" w:eastAsiaTheme="minorEastAsia" w:cstheme="minorEastAsia"/>
          <w:sz w:val="22"/>
          <w:szCs w:val="22"/>
          <w:u w:val="single"/>
        </w:rPr>
        <w:t xml:space="preserve">     根据工程所需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1.1.3.9 永久占地包括：</w:t>
      </w:r>
      <w:r>
        <w:rPr>
          <w:rFonts w:hint="eastAsia" w:asciiTheme="minorEastAsia" w:hAnsiTheme="minorEastAsia" w:eastAsiaTheme="minorEastAsia" w:cstheme="minorEastAsia"/>
          <w:sz w:val="22"/>
          <w:szCs w:val="22"/>
          <w:u w:val="single"/>
        </w:rPr>
        <w:t xml:space="preserve">   设计图纸所示工程范围          </w:t>
      </w:r>
      <w:r>
        <w:rPr>
          <w:rFonts w:hint="eastAsia" w:asciiTheme="minorEastAsia" w:hAnsiTheme="minorEastAsia" w:eastAsiaTheme="minorEastAsia" w:cstheme="minorEastAsia"/>
          <w:kern w:val="0"/>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1.1.3.10 临时占地包括：</w:t>
      </w:r>
      <w:r>
        <w:rPr>
          <w:rFonts w:hint="eastAsia" w:asciiTheme="minorEastAsia" w:hAnsiTheme="minorEastAsia" w:eastAsiaTheme="minorEastAsia" w:cstheme="minorEastAsia"/>
          <w:sz w:val="22"/>
          <w:szCs w:val="22"/>
          <w:u w:val="single"/>
        </w:rPr>
        <w:t xml:space="preserve"> 工程需要所设置的生活及加工场地、承包人自行解决</w:t>
      </w:r>
      <w:r>
        <w:rPr>
          <w:rFonts w:hint="eastAsia" w:asciiTheme="minorEastAsia" w:hAnsiTheme="minorEastAsia" w:eastAsiaTheme="minorEastAsia" w:cstheme="minorEastAsia"/>
          <w:kern w:val="0"/>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 xml:space="preserve">1.3法律 </w:t>
      </w:r>
    </w:p>
    <w:p>
      <w:pPr>
        <w:autoSpaceDE w:val="0"/>
        <w:autoSpaceDN w:val="0"/>
        <w:adjustRightInd w:val="0"/>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适用于合同的其他规范性文件：</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b/>
          <w:bCs/>
          <w:sz w:val="22"/>
          <w:szCs w:val="22"/>
          <w:lang w:val="zh-CN"/>
        </w:rPr>
      </w:pPr>
      <w:r>
        <w:rPr>
          <w:rFonts w:hint="eastAsia" w:asciiTheme="minorEastAsia" w:hAnsiTheme="minorEastAsia" w:eastAsiaTheme="minorEastAsia" w:cstheme="minorEastAsia"/>
          <w:sz w:val="22"/>
          <w:szCs w:val="22"/>
          <w:lang w:val="zh-CN"/>
        </w:rPr>
        <w:t>1.4 标准和规范</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1.4.1适用于工程的标准规范包括：</w:t>
      </w:r>
      <w:r>
        <w:rPr>
          <w:rFonts w:hint="eastAsia" w:asciiTheme="minorEastAsia" w:hAnsiTheme="minorEastAsia" w:eastAsiaTheme="minorEastAsia" w:cstheme="minorEastAsia"/>
          <w:sz w:val="22"/>
          <w:szCs w:val="22"/>
          <w:u w:val="single"/>
        </w:rPr>
        <w:t>国家、上海市及相关行业标准规范 </w:t>
      </w:r>
      <w:r>
        <w:rPr>
          <w:rFonts w:hint="eastAsia" w:asciiTheme="minorEastAsia" w:hAnsiTheme="minorEastAsia" w:eastAsiaTheme="minorEastAsia" w:cstheme="minorEastAsia"/>
          <w:sz w:val="22"/>
          <w:szCs w:val="22"/>
        </w:rPr>
        <w:t>。</w:t>
      </w:r>
    </w:p>
    <w:p>
      <w:pPr>
        <w:spacing w:line="360" w:lineRule="auto"/>
        <w:ind w:left="638" w:leftChars="303" w:hanging="2"/>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sz w:val="22"/>
          <w:szCs w:val="22"/>
        </w:rPr>
        <w:t xml:space="preserve">1.4.2 发包人提供国外标准、规范的名称： </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发包人提供国外标准、规范的份数：</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发包人提供国外标准、规范的名称：</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ind w:left="596" w:leftChars="284"/>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1.4.3发包人对工程的技术标准和功能要求的特殊要求：</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b/>
          <w:bCs/>
          <w:sz w:val="22"/>
          <w:szCs w:val="22"/>
          <w:lang w:val="zh-CN"/>
        </w:rPr>
      </w:pPr>
      <w:r>
        <w:rPr>
          <w:rFonts w:hint="eastAsia" w:asciiTheme="minorEastAsia" w:hAnsiTheme="minorEastAsia" w:eastAsiaTheme="minorEastAsia" w:cstheme="minorEastAsia"/>
          <w:sz w:val="22"/>
          <w:szCs w:val="22"/>
          <w:lang w:val="zh-CN"/>
        </w:rPr>
        <w:t>1.5 合同文件的优先顺序</w:t>
      </w:r>
    </w:p>
    <w:p>
      <w:pPr>
        <w:spacing w:line="360" w:lineRule="auto"/>
        <w:ind w:firstLine="480"/>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合同文件组成及优先顺序为：</w:t>
      </w:r>
      <w:r>
        <w:rPr>
          <w:rFonts w:hint="eastAsia" w:asciiTheme="minorEastAsia" w:hAnsiTheme="minorEastAsia" w:eastAsiaTheme="minorEastAsia" w:cstheme="minorEastAsia"/>
          <w:sz w:val="22"/>
          <w:szCs w:val="22"/>
          <w:u w:val="single"/>
        </w:rPr>
        <w:t>1、补充协议（如有）；2、合同协议书；3、中标通知书；4、投标函及附录；5、专用合同条款及其附件；6、通用合同条款；7、技术标准和要求；8图纸；9、已标价工程量清单或预算书；10、其他合同文件</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1.6 图纸和承包人文件</w:t>
      </w:r>
      <w:r>
        <w:rPr>
          <w:rFonts w:hint="eastAsia" w:asciiTheme="minorEastAsia" w:hAnsiTheme="minorEastAsia" w:eastAsiaTheme="minorEastAsia" w:cstheme="minorEastAsia"/>
          <w:sz w:val="22"/>
          <w:szCs w:val="22"/>
          <w:lang w:val="zh-CN"/>
        </w:rPr>
        <w:tab/>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1.6.1 图纸的提供</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发包人向承包人提供图纸的期限：</w:t>
      </w:r>
      <w:r>
        <w:rPr>
          <w:rFonts w:hint="eastAsia" w:asciiTheme="minorEastAsia" w:hAnsiTheme="minorEastAsia" w:eastAsiaTheme="minorEastAsia" w:cstheme="minorEastAsia"/>
          <w:sz w:val="22"/>
          <w:szCs w:val="22"/>
          <w:u w:val="single"/>
        </w:rPr>
        <w:t>开工前14天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发包人向承包人提供图纸的数量：</w:t>
      </w:r>
      <w:r>
        <w:rPr>
          <w:rFonts w:hint="eastAsia" w:asciiTheme="minorEastAsia" w:hAnsiTheme="minorEastAsia" w:eastAsiaTheme="minorEastAsia" w:cstheme="minorEastAsia"/>
          <w:sz w:val="22"/>
          <w:szCs w:val="22"/>
          <w:u w:val="single"/>
        </w:rPr>
        <w:t>捌套（含竣工图肆套）</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发包人向承包人提供图纸的内容：</w:t>
      </w:r>
      <w:r>
        <w:rPr>
          <w:rFonts w:hint="eastAsia" w:asciiTheme="minorEastAsia" w:hAnsiTheme="minorEastAsia" w:eastAsiaTheme="minorEastAsia" w:cstheme="minorEastAsia"/>
          <w:sz w:val="22"/>
          <w:szCs w:val="22"/>
          <w:u w:val="single"/>
        </w:rPr>
        <w:t>施工图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1.6.4 承包人文件</w:t>
      </w:r>
    </w:p>
    <w:p>
      <w:pPr>
        <w:spacing w:line="360" w:lineRule="auto"/>
        <w:ind w:left="596" w:leftChars="284"/>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需要由承包人提供的文件，包括：</w:t>
      </w:r>
      <w:r>
        <w:rPr>
          <w:rFonts w:hint="eastAsia" w:asciiTheme="minorEastAsia" w:hAnsiTheme="minorEastAsia" w:eastAsiaTheme="minorEastAsia" w:cstheme="minorEastAsia"/>
          <w:sz w:val="22"/>
          <w:szCs w:val="22"/>
          <w:u w:val="single"/>
        </w:rPr>
        <w:t xml:space="preserve">施工组织设计、专项技术方案、安装专项组织设计及施工图预算等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承包人提供的文件的期限为：</w:t>
      </w:r>
      <w:r>
        <w:rPr>
          <w:rFonts w:hint="eastAsia" w:asciiTheme="minorEastAsia" w:hAnsiTheme="minorEastAsia" w:eastAsiaTheme="minorEastAsia" w:cstheme="minorEastAsia"/>
          <w:sz w:val="22"/>
          <w:szCs w:val="22"/>
          <w:u w:val="single"/>
        </w:rPr>
        <w:t xml:space="preserve">施工前7天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承包人提供的文件的数量为：</w:t>
      </w:r>
      <w:r>
        <w:rPr>
          <w:rFonts w:hint="eastAsia" w:asciiTheme="minorEastAsia" w:hAnsiTheme="minorEastAsia" w:eastAsiaTheme="minorEastAsia" w:cstheme="minorEastAsia"/>
          <w:sz w:val="22"/>
          <w:szCs w:val="22"/>
          <w:u w:val="single"/>
        </w:rPr>
        <w:t>一式三份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承包人提供的文件的形式为：</w:t>
      </w:r>
      <w:r>
        <w:rPr>
          <w:rFonts w:hint="eastAsia" w:asciiTheme="minorEastAsia" w:hAnsiTheme="minorEastAsia" w:eastAsiaTheme="minorEastAsia" w:cstheme="minorEastAsia"/>
          <w:sz w:val="22"/>
          <w:szCs w:val="22"/>
          <w:u w:val="single"/>
        </w:rPr>
        <w:t>书面及电子版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发包人审批承包人文件的期限：</w:t>
      </w:r>
      <w:r>
        <w:rPr>
          <w:rFonts w:hint="eastAsia" w:asciiTheme="minorEastAsia" w:hAnsiTheme="minorEastAsia" w:eastAsiaTheme="minorEastAsia" w:cstheme="minorEastAsia"/>
          <w:sz w:val="22"/>
          <w:szCs w:val="22"/>
          <w:u w:val="single"/>
        </w:rPr>
        <w:t xml:space="preserve">收到完整资料后7天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1.6.5 现场图纸准备</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关于现场图纸准备的约定：</w:t>
      </w:r>
      <w:r>
        <w:rPr>
          <w:rFonts w:hint="eastAsia" w:asciiTheme="minorEastAsia" w:hAnsiTheme="minorEastAsia" w:eastAsiaTheme="minorEastAsia" w:cstheme="minorEastAsia"/>
          <w:sz w:val="22"/>
          <w:szCs w:val="22"/>
          <w:u w:val="single"/>
        </w:rPr>
        <w:t>   承包人负责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1.7 联络</w:t>
      </w:r>
    </w:p>
    <w:p>
      <w:pPr>
        <w:spacing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1.7.1发包人和承包人应当在</w:t>
      </w:r>
      <w:r>
        <w:rPr>
          <w:rFonts w:hint="eastAsia" w:asciiTheme="minorEastAsia" w:hAnsiTheme="minorEastAsia" w:eastAsiaTheme="minorEastAsia" w:cstheme="minorEastAsia"/>
          <w:sz w:val="22"/>
          <w:szCs w:val="22"/>
          <w:u w:val="single"/>
        </w:rPr>
        <w:t xml:space="preserve">7   </w:t>
      </w:r>
      <w:r>
        <w:rPr>
          <w:rFonts w:hint="eastAsia" w:asciiTheme="minorEastAsia" w:hAnsiTheme="minorEastAsia" w:eastAsiaTheme="minorEastAsia" w:cstheme="minorEastAsia"/>
          <w:kern w:val="0"/>
          <w:sz w:val="22"/>
          <w:szCs w:val="22"/>
        </w:rPr>
        <w:t>天内将与合同有关的通知、批准、证明、证书、指示、指令、要求、请求、同意、意见、确定和决定等书面函件送达对方当事人。</w:t>
      </w:r>
    </w:p>
    <w:p>
      <w:pPr>
        <w:spacing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1.7.2 发包人接收文件的地点：</w:t>
      </w:r>
      <w:r>
        <w:rPr>
          <w:rFonts w:hint="eastAsia" w:asciiTheme="minorEastAsia" w:hAnsiTheme="minorEastAsia" w:eastAsiaTheme="minorEastAsia" w:cstheme="minorEastAsia"/>
          <w:sz w:val="22"/>
          <w:szCs w:val="22"/>
          <w:u w:val="single"/>
        </w:rPr>
        <w:t>项目现场办公室</w:t>
      </w:r>
      <w:r>
        <w:rPr>
          <w:rFonts w:hint="eastAsia" w:asciiTheme="minorEastAsia" w:hAnsiTheme="minorEastAsia" w:eastAsiaTheme="minorEastAsia" w:cstheme="minorEastAsia"/>
          <w:kern w:val="0"/>
          <w:sz w:val="22"/>
          <w:szCs w:val="22"/>
        </w:rPr>
        <w:t>；</w:t>
      </w:r>
    </w:p>
    <w:p>
      <w:pPr>
        <w:spacing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发包人指定的接收人为：</w:t>
      </w:r>
      <w:r>
        <w:rPr>
          <w:rFonts w:hint="eastAsia" w:asciiTheme="minorEastAsia" w:hAnsiTheme="minorEastAsia" w:eastAsiaTheme="minorEastAsia" w:cstheme="minorEastAsia"/>
          <w:sz w:val="22"/>
          <w:szCs w:val="22"/>
          <w:u w:val="single"/>
        </w:rPr>
        <w:t>               </w:t>
      </w:r>
      <w:r>
        <w:rPr>
          <w:rFonts w:hint="eastAsia" w:asciiTheme="minorEastAsia" w:hAnsiTheme="minorEastAsia" w:eastAsiaTheme="minorEastAsia" w:cstheme="minorEastAsia"/>
          <w:kern w:val="0"/>
          <w:sz w:val="22"/>
          <w:szCs w:val="22"/>
        </w:rPr>
        <w:t>。</w:t>
      </w:r>
    </w:p>
    <w:p>
      <w:pPr>
        <w:spacing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承包人接收文件的地点：</w:t>
      </w:r>
      <w:r>
        <w:rPr>
          <w:rFonts w:hint="eastAsia" w:asciiTheme="minorEastAsia" w:hAnsiTheme="minorEastAsia" w:eastAsiaTheme="minorEastAsia" w:cstheme="minorEastAsia"/>
          <w:sz w:val="22"/>
          <w:szCs w:val="22"/>
          <w:u w:val="single"/>
        </w:rPr>
        <w:t> 项目现场办公室     </w:t>
      </w:r>
      <w:r>
        <w:rPr>
          <w:rFonts w:hint="eastAsia" w:asciiTheme="minorEastAsia" w:hAnsiTheme="minorEastAsia" w:eastAsiaTheme="minorEastAsia" w:cstheme="minorEastAsia"/>
          <w:kern w:val="0"/>
          <w:sz w:val="22"/>
          <w:szCs w:val="22"/>
        </w:rPr>
        <w:t>；</w:t>
      </w:r>
    </w:p>
    <w:p>
      <w:pPr>
        <w:spacing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承包人指定的接收人为：</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kern w:val="0"/>
          <w:sz w:val="22"/>
          <w:szCs w:val="22"/>
        </w:rPr>
        <w:t>。</w:t>
      </w:r>
    </w:p>
    <w:p>
      <w:pPr>
        <w:spacing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监理人接收文件的地点：</w:t>
      </w:r>
      <w:r>
        <w:rPr>
          <w:rFonts w:hint="eastAsia" w:asciiTheme="minorEastAsia" w:hAnsiTheme="minorEastAsia" w:eastAsiaTheme="minorEastAsia" w:cstheme="minorEastAsia"/>
          <w:sz w:val="22"/>
          <w:szCs w:val="22"/>
          <w:u w:val="single"/>
        </w:rPr>
        <w:t xml:space="preserve"> 项目现场办公室     </w:t>
      </w:r>
      <w:r>
        <w:rPr>
          <w:rFonts w:hint="eastAsia" w:asciiTheme="minorEastAsia" w:hAnsiTheme="minorEastAsia" w:eastAsiaTheme="minorEastAsia" w:cstheme="minorEastAsia"/>
          <w:kern w:val="0"/>
          <w:sz w:val="22"/>
          <w:szCs w:val="22"/>
        </w:rPr>
        <w:t>；</w:t>
      </w:r>
    </w:p>
    <w:p>
      <w:pPr>
        <w:spacing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监理人指定的接收人为：</w:t>
      </w:r>
      <w:r>
        <w:rPr>
          <w:rFonts w:hint="eastAsia" w:asciiTheme="minorEastAsia" w:hAnsiTheme="minorEastAsia" w:eastAsiaTheme="minorEastAsia" w:cstheme="minorEastAsia"/>
          <w:sz w:val="22"/>
          <w:szCs w:val="22"/>
          <w:u w:val="single"/>
        </w:rPr>
        <w:t>            </w:t>
      </w:r>
      <w:r>
        <w:rPr>
          <w:rFonts w:hint="eastAsia" w:asciiTheme="minorEastAsia" w:hAnsiTheme="minorEastAsia" w:eastAsiaTheme="minorEastAsia" w:cstheme="minorEastAsia"/>
          <w:kern w:val="0"/>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1.10 交通运输</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1.10.1 出入现场的权利</w:t>
      </w:r>
    </w:p>
    <w:p>
      <w:pPr>
        <w:spacing w:line="360" w:lineRule="auto"/>
        <w:ind w:left="596" w:leftChars="284"/>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关于出入现场的权利的约定：</w:t>
      </w:r>
      <w:r>
        <w:rPr>
          <w:rFonts w:hint="eastAsia" w:asciiTheme="minorEastAsia" w:hAnsiTheme="minorEastAsia" w:eastAsiaTheme="minorEastAsia" w:cstheme="minorEastAsia"/>
          <w:sz w:val="22"/>
          <w:szCs w:val="22"/>
          <w:u w:val="single"/>
        </w:rPr>
        <w:t> 承包人负责办理场外及场内交通运输相关手续并承担建设费用</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1.10.3 场内交通</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关于场外交通和场内交通的边界的约定：</w:t>
      </w:r>
      <w:r>
        <w:rPr>
          <w:rFonts w:hint="eastAsia" w:asciiTheme="minorEastAsia" w:hAnsiTheme="minorEastAsia" w:eastAsiaTheme="minorEastAsia" w:cstheme="minorEastAsia"/>
          <w:sz w:val="22"/>
          <w:szCs w:val="22"/>
          <w:u w:val="single"/>
        </w:rPr>
        <w:t>以红线范围为界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关于发包人向承包人免费提供满足工程施工需要的场内道路和交通设施的约定：</w:t>
      </w:r>
      <w:r>
        <w:rPr>
          <w:rFonts w:hint="eastAsia" w:asciiTheme="minorEastAsia" w:hAnsiTheme="minorEastAsia" w:eastAsiaTheme="minorEastAsia" w:cstheme="minorEastAsia"/>
          <w:sz w:val="22"/>
          <w:szCs w:val="22"/>
          <w:u w:val="single"/>
        </w:rPr>
        <w:t>承包人自行解决</w:t>
      </w:r>
      <w:r>
        <w:rPr>
          <w:rFonts w:hint="eastAsia" w:asciiTheme="minorEastAsia" w:hAnsiTheme="minorEastAsia" w:eastAsiaTheme="minorEastAsia" w:cstheme="minorEastAsia"/>
          <w:sz w:val="22"/>
          <w:szCs w:val="22"/>
        </w:rPr>
        <w:t xml:space="preserve">。  </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1.10.4超大件和超重件的运输</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运输超大件或超重件所需的道路和桥梁临时加固改造费用和其他有关费用由</w:t>
      </w:r>
      <w:r>
        <w:rPr>
          <w:rFonts w:hint="eastAsia" w:asciiTheme="minorEastAsia" w:hAnsiTheme="minorEastAsia" w:eastAsiaTheme="minorEastAsia" w:cstheme="minorEastAsia"/>
          <w:sz w:val="22"/>
          <w:szCs w:val="22"/>
          <w:u w:val="single"/>
        </w:rPr>
        <w:t xml:space="preserve">承包人             </w:t>
      </w:r>
      <w:r>
        <w:rPr>
          <w:rFonts w:hint="eastAsia" w:asciiTheme="minorEastAsia" w:hAnsiTheme="minorEastAsia" w:eastAsiaTheme="minorEastAsia" w:cstheme="minorEastAsia"/>
          <w:sz w:val="22"/>
          <w:szCs w:val="22"/>
        </w:rPr>
        <w:t>承担。</w:t>
      </w:r>
    </w:p>
    <w:p>
      <w:pPr>
        <w:keepNext/>
        <w:keepLines/>
        <w:spacing w:before="120" w:after="120" w:line="360" w:lineRule="auto"/>
        <w:ind w:left="480"/>
        <w:outlineLvl w:val="4"/>
        <w:rPr>
          <w:rFonts w:asciiTheme="minorEastAsia" w:hAnsiTheme="minorEastAsia" w:eastAsiaTheme="minorEastAsia" w:cstheme="minorEastAsia"/>
          <w:b/>
          <w:bCs/>
          <w:sz w:val="22"/>
          <w:szCs w:val="22"/>
          <w:lang w:val="zh-CN"/>
        </w:rPr>
      </w:pPr>
      <w:r>
        <w:rPr>
          <w:rFonts w:hint="eastAsia" w:asciiTheme="minorEastAsia" w:hAnsiTheme="minorEastAsia" w:eastAsiaTheme="minorEastAsia" w:cstheme="minorEastAsia"/>
          <w:sz w:val="22"/>
          <w:szCs w:val="22"/>
          <w:lang w:val="zh-CN"/>
        </w:rPr>
        <w:t>1.11 知识产权</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sz w:val="22"/>
          <w:szCs w:val="22"/>
          <w:u w:val="single"/>
        </w:rPr>
        <w:t xml:space="preserve">发包人   </w:t>
      </w:r>
      <w:r>
        <w:rPr>
          <w:rFonts w:hint="eastAsia" w:asciiTheme="minorEastAsia" w:hAnsiTheme="minorEastAsia" w:eastAsiaTheme="minorEastAsia" w:cstheme="minorEastAsia"/>
          <w:sz w:val="22"/>
          <w:szCs w:val="22"/>
        </w:rPr>
        <w:t>。</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关于发包人提供的上述文件的使用限制的要求：</w:t>
      </w:r>
      <w:r>
        <w:rPr>
          <w:rFonts w:hint="eastAsia" w:asciiTheme="minorEastAsia" w:hAnsiTheme="minorEastAsia" w:eastAsiaTheme="minorEastAsia" w:cstheme="minorEastAsia"/>
          <w:sz w:val="22"/>
          <w:szCs w:val="22"/>
          <w:u w:val="single"/>
        </w:rPr>
        <w:t xml:space="preserve">     施工期与保修期            </w:t>
      </w:r>
      <w:r>
        <w:rPr>
          <w:rFonts w:hint="eastAsia" w:asciiTheme="minorEastAsia" w:hAnsiTheme="minorEastAsia" w:eastAsiaTheme="minorEastAsia" w:cstheme="minorEastAsia"/>
          <w:sz w:val="22"/>
          <w:szCs w:val="22"/>
        </w:rPr>
        <w:t>。</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u w:val="single"/>
        </w:rPr>
        <w:t>1</w:t>
      </w:r>
      <w:r>
        <w:rPr>
          <w:rFonts w:hint="eastAsia" w:asciiTheme="minorEastAsia" w:hAnsiTheme="minorEastAsia" w:eastAsiaTheme="minorEastAsia" w:cstheme="minorEastAsia"/>
          <w:sz w:val="22"/>
          <w:szCs w:val="22"/>
        </w:rPr>
        <w:t>.11.2 关于承包人为实施工程所编制文件的著作权的归属</w:t>
      </w:r>
      <w:r>
        <w:rPr>
          <w:rFonts w:hint="eastAsia" w:asciiTheme="minorEastAsia" w:hAnsiTheme="minorEastAsia" w:eastAsiaTheme="minorEastAsia" w:cstheme="minorEastAsia"/>
          <w:sz w:val="22"/>
          <w:szCs w:val="22"/>
          <w:u w:val="single"/>
        </w:rPr>
        <w:t>： 发承包人 </w:t>
      </w:r>
      <w:r>
        <w:rPr>
          <w:rFonts w:hint="eastAsia" w:asciiTheme="minorEastAsia" w:hAnsiTheme="minorEastAsia" w:eastAsiaTheme="minorEastAsia" w:cstheme="minorEastAsia"/>
          <w:sz w:val="22"/>
          <w:szCs w:val="22"/>
        </w:rPr>
        <w:t>。</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关于承包人提供的上述文件的使用限制的要求：</w:t>
      </w:r>
      <w:r>
        <w:rPr>
          <w:rFonts w:hint="eastAsia" w:asciiTheme="minorEastAsia" w:hAnsiTheme="minorEastAsia" w:eastAsiaTheme="minorEastAsia" w:cstheme="minorEastAsia"/>
          <w:sz w:val="22"/>
          <w:szCs w:val="22"/>
          <w:u w:val="single"/>
        </w:rPr>
        <w:t xml:space="preserve">施工期与保修期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1.11.4 承包人在施工过程中所采用的专利、专有技术、技术秘密的使用费的承担方式：</w:t>
      </w:r>
      <w:r>
        <w:rPr>
          <w:rFonts w:hint="eastAsia" w:asciiTheme="minorEastAsia" w:hAnsiTheme="minorEastAsia" w:eastAsiaTheme="minorEastAsia" w:cstheme="minorEastAsia"/>
          <w:sz w:val="22"/>
          <w:szCs w:val="22"/>
          <w:u w:val="single"/>
        </w:rPr>
        <w:t xml:space="preserve">承包人自行承担   </w:t>
      </w:r>
      <w:r>
        <w:rPr>
          <w:rFonts w:hint="eastAsia" w:asciiTheme="minorEastAsia" w:hAnsiTheme="minorEastAsia" w:eastAsiaTheme="minorEastAsia" w:cstheme="minorEastAsia"/>
          <w:sz w:val="22"/>
          <w:szCs w:val="22"/>
        </w:rPr>
        <w:t>。</w:t>
      </w:r>
    </w:p>
    <w:p>
      <w:pPr>
        <w:spacing w:after="120"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1.13工程量清单错误的修正</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出现工程量清单错误时，是否调整合同价格：</w:t>
      </w:r>
      <w:r>
        <w:rPr>
          <w:rFonts w:hint="eastAsia" w:asciiTheme="minorEastAsia" w:hAnsiTheme="minorEastAsia" w:eastAsiaTheme="minorEastAsia" w:cstheme="minorEastAsia"/>
          <w:sz w:val="22"/>
          <w:szCs w:val="22"/>
          <w:u w:val="single"/>
        </w:rPr>
        <w:t xml:space="preserve">     调整     </w:t>
      </w:r>
      <w:r>
        <w:rPr>
          <w:rFonts w:hint="eastAsia" w:asciiTheme="minorEastAsia" w:hAnsiTheme="minorEastAsia" w:eastAsiaTheme="minorEastAsia" w:cstheme="minorEastAsia"/>
          <w:kern w:val="0"/>
          <w:sz w:val="22"/>
          <w:szCs w:val="22"/>
        </w:rPr>
        <w:t>。</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允许调整合同价格的工程量偏差范围：</w:t>
      </w:r>
      <w:r>
        <w:rPr>
          <w:rFonts w:hint="eastAsia" w:asciiTheme="minorEastAsia" w:hAnsiTheme="minorEastAsia" w:eastAsiaTheme="minorEastAsia" w:cstheme="minorEastAsia"/>
          <w:sz w:val="22"/>
          <w:szCs w:val="22"/>
          <w:u w:val="single"/>
        </w:rPr>
        <w:t xml:space="preserve">    不调整     </w:t>
      </w:r>
      <w:r>
        <w:rPr>
          <w:rFonts w:hint="eastAsia" w:asciiTheme="minorEastAsia" w:hAnsiTheme="minorEastAsia" w:eastAsiaTheme="minorEastAsia" w:cstheme="minorEastAsia"/>
          <w:kern w:val="0"/>
          <w:sz w:val="22"/>
          <w:szCs w:val="22"/>
        </w:rPr>
        <w:t>。</w:t>
      </w:r>
    </w:p>
    <w:p>
      <w:pPr>
        <w:keepNext/>
        <w:keepLines/>
        <w:spacing w:before="120" w:after="120" w:line="360" w:lineRule="auto"/>
        <w:outlineLvl w:val="3"/>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2. 发包人</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2.2 发包人代表</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发包人代表：</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姓    名：</w:t>
      </w:r>
      <w:r>
        <w:rPr>
          <w:rFonts w:hint="eastAsia" w:asciiTheme="minorEastAsia" w:hAnsiTheme="minorEastAsia" w:eastAsiaTheme="minorEastAsia" w:cstheme="minorEastAsia"/>
          <w:sz w:val="22"/>
          <w:szCs w:val="22"/>
          <w:u w:val="single"/>
        </w:rPr>
        <w:t>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身份证号：</w:t>
      </w:r>
      <w:r>
        <w:rPr>
          <w:rFonts w:hint="eastAsia" w:asciiTheme="minorEastAsia" w:hAnsiTheme="minorEastAsia" w:eastAsiaTheme="minorEastAsia" w:cstheme="minorEastAsia"/>
          <w:sz w:val="22"/>
          <w:szCs w:val="22"/>
          <w:u w:val="single"/>
        </w:rPr>
        <w:t>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职    务：</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sz w:val="22"/>
          <w:szCs w:val="22"/>
          <w:u w:val="single"/>
        </w:rPr>
        <w:t>  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电子信箱：</w:t>
      </w:r>
      <w:r>
        <w:rPr>
          <w:rFonts w:hint="eastAsia" w:asciiTheme="minorEastAsia" w:hAnsiTheme="minorEastAsia" w:eastAsiaTheme="minorEastAsia" w:cstheme="minorEastAsia"/>
          <w:sz w:val="22"/>
          <w:szCs w:val="22"/>
          <w:u w:val="single"/>
        </w:rPr>
        <w:t>  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通信地址：</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sz w:val="22"/>
          <w:szCs w:val="22"/>
        </w:rPr>
        <w:t>发包人对发包人代表的授权范围如下：</w:t>
      </w:r>
      <w:r>
        <w:rPr>
          <w:rFonts w:hint="eastAsia" w:asciiTheme="minorEastAsia" w:hAnsiTheme="minorEastAsia" w:eastAsiaTheme="minorEastAsia" w:cstheme="minorEastAsia"/>
          <w:sz w:val="22"/>
          <w:szCs w:val="22"/>
          <w:u w:val="single"/>
        </w:rPr>
        <w:t></w:t>
      </w:r>
      <w:r>
        <w:rPr>
          <w:rFonts w:hint="eastAsia" w:asciiTheme="minorEastAsia" w:hAnsiTheme="minorEastAsia" w:eastAsiaTheme="minorEastAsia" w:cstheme="minorEastAsia"/>
          <w:b/>
          <w:bCs/>
          <w:sz w:val="22"/>
          <w:szCs w:val="22"/>
          <w:u w:val="single"/>
        </w:rPr>
        <w:t></w:t>
      </w:r>
      <w:r>
        <w:rPr>
          <w:rFonts w:hint="eastAsia" w:ascii="宋体" w:hAnsi="宋体" w:cs="宋体"/>
          <w:b/>
          <w:bCs/>
          <w:sz w:val="22"/>
          <w:szCs w:val="22"/>
          <w:u w:val="single"/>
        </w:rPr>
        <w:t>有权代表发包人对工程的质量、进度、安全进行监督，并办理工程中的一切签证、技术核定、工程变更等手续，办理工程中需要确认的材料价格核定手续等。签证、技术核定单、工程变更单、隐蔽工程量等须发包人代表签字并加盖公章（或项目专用章）认可后方有效</w:t>
      </w:r>
      <w:r>
        <w:rPr>
          <w:rFonts w:hint="eastAsia" w:asciiTheme="minorEastAsia" w:hAnsiTheme="minorEastAsia" w:eastAsiaTheme="minorEastAsia" w:cstheme="minorEastAsia"/>
          <w:b/>
          <w:bCs/>
          <w:sz w:val="22"/>
          <w:szCs w:val="22"/>
          <w:u w:val="single"/>
        </w:rPr>
        <w:t xml:space="preserve">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2.4 施工现场、施工条件和基础资料的提供</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2.4.1 提供施工现场</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关于发包人移交施工现场的期限要求：</w:t>
      </w:r>
      <w:r>
        <w:rPr>
          <w:rFonts w:hint="eastAsia" w:asciiTheme="minorEastAsia" w:hAnsiTheme="minorEastAsia" w:eastAsiaTheme="minorEastAsia" w:cstheme="minorEastAsia"/>
          <w:sz w:val="22"/>
          <w:szCs w:val="22"/>
          <w:u w:val="single"/>
        </w:rPr>
        <w:t xml:space="preserve">开工前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2.4.2 提供施工条件</w:t>
      </w:r>
    </w:p>
    <w:p>
      <w:pPr>
        <w:spacing w:line="360" w:lineRule="auto"/>
        <w:ind w:firstLine="480"/>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关于发包人应负责提供施工所需要的条件，包括：</w:t>
      </w:r>
      <w:r>
        <w:rPr>
          <w:rFonts w:hint="eastAsia" w:asciiTheme="minorEastAsia" w:hAnsiTheme="minorEastAsia" w:eastAsiaTheme="minorEastAsia" w:cstheme="minorEastAsia"/>
          <w:sz w:val="22"/>
          <w:szCs w:val="22"/>
          <w:u w:val="single"/>
        </w:rPr>
        <w:t xml:space="preserve"> 施工用水用电及场地平整，施工现场周围地下管线和邻近建筑物、构筑物、古树名木的保护工作由承包人负责并承担相关费用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b/>
          <w:bCs/>
          <w:sz w:val="22"/>
          <w:szCs w:val="22"/>
          <w:lang w:val="zh-CN"/>
        </w:rPr>
      </w:pPr>
      <w:r>
        <w:rPr>
          <w:rFonts w:hint="eastAsia" w:asciiTheme="minorEastAsia" w:hAnsiTheme="minorEastAsia" w:eastAsiaTheme="minorEastAsia" w:cstheme="minorEastAsia"/>
          <w:sz w:val="22"/>
          <w:szCs w:val="22"/>
          <w:lang w:val="zh-CN"/>
        </w:rPr>
        <w:t>2.5 资金来源证明及支付担保</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发包人提供资金来源证明的期限要求：</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发包人是否提供支付担保：</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发包人提供支付担保的形式：</w:t>
      </w:r>
      <w:r>
        <w:rPr>
          <w:rFonts w:hint="eastAsia" w:asciiTheme="minorEastAsia" w:hAnsiTheme="minorEastAsia" w:eastAsiaTheme="minorEastAsia" w:cstheme="minorEastAsia"/>
          <w:sz w:val="22"/>
          <w:szCs w:val="22"/>
          <w:u w:val="single"/>
        </w:rPr>
        <w:t>                     </w:t>
      </w:r>
      <w:r>
        <w:rPr>
          <w:rFonts w:hint="eastAsia" w:asciiTheme="minorEastAsia" w:hAnsiTheme="minorEastAsia" w:eastAsiaTheme="minorEastAsia" w:cstheme="minorEastAsia"/>
          <w:sz w:val="22"/>
          <w:szCs w:val="22"/>
        </w:rPr>
        <w:t>。</w:t>
      </w:r>
    </w:p>
    <w:p>
      <w:pPr>
        <w:keepNext/>
        <w:keepLines/>
        <w:spacing w:before="120" w:after="120" w:line="360" w:lineRule="auto"/>
        <w:outlineLvl w:val="3"/>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3. 承包人</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3.1 承包人的一般义务</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（9）</w:t>
      </w:r>
      <w:r>
        <w:rPr>
          <w:rFonts w:hint="eastAsia" w:asciiTheme="minorEastAsia" w:hAnsiTheme="minorEastAsia" w:eastAsiaTheme="minorEastAsia" w:cstheme="minorEastAsia"/>
          <w:sz w:val="22"/>
          <w:szCs w:val="22"/>
        </w:rPr>
        <w:t>承包人提交的竣工资料的内容：</w:t>
      </w:r>
      <w:r>
        <w:rPr>
          <w:rFonts w:hint="eastAsia" w:asciiTheme="minorEastAsia" w:hAnsiTheme="minorEastAsia" w:eastAsiaTheme="minorEastAsia" w:cstheme="minorEastAsia"/>
          <w:sz w:val="22"/>
          <w:szCs w:val="22"/>
          <w:u w:val="single"/>
        </w:rPr>
        <w:t xml:space="preserve"> 符合上海市建设工程竣工档案要求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承包人需要提交的竣工资料套数：</w:t>
      </w:r>
      <w:r>
        <w:rPr>
          <w:rFonts w:hint="eastAsia" w:asciiTheme="minorEastAsia" w:hAnsiTheme="minorEastAsia" w:eastAsiaTheme="minorEastAsia" w:cstheme="minorEastAsia"/>
          <w:sz w:val="22"/>
          <w:szCs w:val="22"/>
          <w:u w:val="single"/>
        </w:rPr>
        <w:t xml:space="preserve">   肆套         </w:t>
      </w:r>
      <w:r>
        <w:rPr>
          <w:rFonts w:hint="eastAsia" w:asciiTheme="minorEastAsia" w:hAnsiTheme="minorEastAsia" w:eastAsiaTheme="minorEastAsia" w:cstheme="minorEastAsia"/>
          <w:sz w:val="22"/>
          <w:szCs w:val="22"/>
        </w:rPr>
        <w:t>。</w:t>
      </w:r>
    </w:p>
    <w:p>
      <w:pPr>
        <w:spacing w:line="360" w:lineRule="auto"/>
        <w:ind w:left="638" w:leftChars="304"/>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承包人提交的竣工资料的费用承担：</w:t>
      </w:r>
      <w:r>
        <w:rPr>
          <w:rFonts w:hint="eastAsia" w:asciiTheme="minorEastAsia" w:hAnsiTheme="minorEastAsia" w:eastAsiaTheme="minorEastAsia" w:cstheme="minorEastAsia"/>
          <w:sz w:val="22"/>
          <w:szCs w:val="22"/>
          <w:u w:val="single"/>
        </w:rPr>
        <w:t xml:space="preserve">  承包人        </w:t>
      </w:r>
      <w:r>
        <w:rPr>
          <w:rFonts w:hint="eastAsia" w:asciiTheme="minorEastAsia" w:hAnsiTheme="minorEastAsia" w:eastAsiaTheme="minorEastAsia" w:cstheme="minorEastAsia"/>
          <w:sz w:val="22"/>
          <w:szCs w:val="22"/>
        </w:rPr>
        <w:t>。</w:t>
      </w:r>
    </w:p>
    <w:p>
      <w:pPr>
        <w:spacing w:line="360" w:lineRule="auto"/>
        <w:ind w:left="638" w:leftChars="304"/>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承包人提交的竣工资料移交时间：</w:t>
      </w:r>
      <w:r>
        <w:rPr>
          <w:rFonts w:hint="eastAsia" w:asciiTheme="minorEastAsia" w:hAnsiTheme="minorEastAsia" w:eastAsiaTheme="minorEastAsia" w:cstheme="minorEastAsia"/>
          <w:sz w:val="22"/>
          <w:szCs w:val="22"/>
          <w:u w:val="single"/>
        </w:rPr>
        <w:t xml:space="preserve">   竣工后三个月内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承包人提交的竣工资料形式要求：</w:t>
      </w:r>
      <w:r>
        <w:rPr>
          <w:rFonts w:hint="eastAsia" w:asciiTheme="minorEastAsia" w:hAnsiTheme="minorEastAsia" w:eastAsiaTheme="minorEastAsia" w:cstheme="minorEastAsia"/>
          <w:sz w:val="22"/>
          <w:szCs w:val="22"/>
          <w:u w:val="single"/>
        </w:rPr>
        <w:t xml:space="preserve">  纸质及电子版，满足相关部门备案制验收要求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（10）承包人应履行的其他义务：</w:t>
      </w:r>
      <w:r>
        <w:rPr>
          <w:rFonts w:hint="eastAsia" w:asciiTheme="minorEastAsia" w:hAnsiTheme="minorEastAsia" w:eastAsiaTheme="minorEastAsia" w:cstheme="minorEastAsia"/>
          <w:sz w:val="22"/>
          <w:szCs w:val="22"/>
          <w:u w:val="single"/>
        </w:rPr>
        <w:t xml:space="preserve">产品保护及施工配合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负责办理报监、施工许可证等手续并承担相应费用；施工过程中对需检测的材料按有关规定检测、提供检测报告并承担有关费用（检测合同由发包人与检测单位签署，但发生的费用由承包人承担），对按规定需对施工方案进行专家论证的，由承包人负责组织论证并承担相关费用。（包括不仅限于以下内容），1）钢结构的焊接X光检测和防火检测等，并提供相关报告；2）实施过程的环境与颗粒物的检测（时间按开工后7个月计算）；3）竣工后的建筑物沉降观测（时间按1年计算）；4）承包还需购置工程相关保险（及工程一切险与第三者责任险）；5）工程竣工档案的编制；6）工程试运行与联动调试过程中发生的水电费用：7）根据其他措施项目清单与计价表中规定的项目。</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向发包人提供临时办公的要求：向发包人、监理单位提供满足现场必要的办公用房。</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承包人应在竣工验收后10日内拆除现场所有临时设施，清运全部建筑垃圾，并经发包人验收，费用由承包人承担，否则如发生相关费用由发包人在结算款中直接扣除。</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承包人的所有人员的工资及相关劳动福利待遇、劳动保险等由承包人自行解决 ，与发包人无关。发包人按合同付款，如出现承包人拖欠工人工资情况，一切纠纷由承包人自行解决，不得以工程合同关系为由，要求发包方支付。</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3.2 项目经理</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 xml:space="preserve">3.2.1 </w:t>
      </w:r>
      <w:r>
        <w:rPr>
          <w:rFonts w:hint="eastAsia" w:asciiTheme="minorEastAsia" w:hAnsiTheme="minorEastAsia" w:eastAsiaTheme="minorEastAsia" w:cstheme="minorEastAsia"/>
          <w:sz w:val="22"/>
          <w:szCs w:val="22"/>
        </w:rPr>
        <w:t>项目经理：</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姓    名：</w:t>
      </w:r>
      <w:r>
        <w:rPr>
          <w:rFonts w:hint="eastAsia" w:asciiTheme="minorEastAsia" w:hAnsiTheme="minorEastAsia" w:eastAsiaTheme="minorEastAsia" w:cstheme="minorEastAsia"/>
          <w:sz w:val="22"/>
          <w:szCs w:val="22"/>
          <w:u w:val="single"/>
        </w:rPr>
        <w:t>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身份证号：</w:t>
      </w:r>
      <w:r>
        <w:rPr>
          <w:rFonts w:hint="eastAsia" w:asciiTheme="minorEastAsia" w:hAnsiTheme="minorEastAsia" w:eastAsiaTheme="minorEastAsia" w:cstheme="minorEastAsia"/>
          <w:sz w:val="22"/>
          <w:szCs w:val="22"/>
          <w:u w:val="single"/>
        </w:rPr>
        <w:t>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建造师执业资格等级：</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建造师注册证书号：</w:t>
      </w:r>
      <w:r>
        <w:rPr>
          <w:rFonts w:hint="eastAsia" w:asciiTheme="minorEastAsia" w:hAnsiTheme="minorEastAsia" w:eastAsiaTheme="minorEastAsia" w:cstheme="minorEastAsia"/>
          <w:sz w:val="22"/>
          <w:szCs w:val="22"/>
          <w:u w:val="single"/>
        </w:rPr>
        <w:t>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建造师执业印章号：</w:t>
      </w:r>
      <w:r>
        <w:rPr>
          <w:rFonts w:hint="eastAsia" w:asciiTheme="minorEastAsia" w:hAnsiTheme="minorEastAsia" w:eastAsiaTheme="minorEastAsia" w:cstheme="minorEastAsia"/>
          <w:sz w:val="22"/>
          <w:szCs w:val="22"/>
          <w:u w:val="single"/>
        </w:rPr>
        <w:t>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安全生产考核合格证书号：</w:t>
      </w:r>
      <w:r>
        <w:rPr>
          <w:rFonts w:hint="eastAsia" w:asciiTheme="minorEastAsia" w:hAnsiTheme="minorEastAsia" w:eastAsiaTheme="minorEastAsia" w:cstheme="minorEastAsia"/>
          <w:sz w:val="22"/>
          <w:szCs w:val="22"/>
          <w:u w:val="single"/>
        </w:rPr>
        <w:t>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sz w:val="22"/>
          <w:szCs w:val="22"/>
          <w:u w:val="single"/>
        </w:rPr>
        <w:t>  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电子信箱：</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通信地址：</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承包人对项目经理的授权范围如下：</w:t>
      </w:r>
      <w:r>
        <w:rPr>
          <w:rFonts w:hint="eastAsia" w:asciiTheme="minorEastAsia" w:hAnsiTheme="minorEastAsia" w:eastAsiaTheme="minorEastAsia" w:cstheme="minorEastAsia"/>
          <w:sz w:val="22"/>
          <w:szCs w:val="22"/>
          <w:u w:val="single"/>
        </w:rPr>
        <w:t xml:space="preserve">代表承包人对项目进行管理及组织协调工作。组织和开展对工程质量、安全、进度全面的实施和管理，负责技术、经济等各类签证的确认及其他日常工作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关于项目经理每月在施工现场的时间要求：</w:t>
      </w:r>
      <w:r>
        <w:rPr>
          <w:rFonts w:hint="eastAsia" w:asciiTheme="minorEastAsia" w:hAnsiTheme="minorEastAsia" w:eastAsiaTheme="minorEastAsia" w:cstheme="minorEastAsia"/>
          <w:sz w:val="22"/>
          <w:szCs w:val="22"/>
          <w:u w:val="single"/>
        </w:rPr>
        <w:t xml:space="preserve"> 确保每周在现场时间不少于5工作日</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承包人未提交劳动合同，以及没有为项目经理缴纳社会保险证明的违约责任：</w:t>
      </w:r>
      <w:r>
        <w:rPr>
          <w:rFonts w:hint="eastAsia" w:asciiTheme="minorEastAsia" w:hAnsiTheme="minorEastAsia" w:eastAsiaTheme="minorEastAsia" w:cstheme="minorEastAsia"/>
          <w:sz w:val="22"/>
          <w:szCs w:val="22"/>
          <w:u w:val="single"/>
        </w:rPr>
        <w:t xml:space="preserve">     由承包人承担，发包人有权要求更换项目经理，由此造成的后果由承包人负责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kern w:val="0"/>
          <w:sz w:val="22"/>
          <w:szCs w:val="22"/>
        </w:rPr>
        <w:t>项目经理未经批准，擅自离开施工现场的违约责任：</w:t>
      </w:r>
      <w:r>
        <w:rPr>
          <w:rFonts w:hint="eastAsia" w:asciiTheme="minorEastAsia" w:hAnsiTheme="minorEastAsia" w:eastAsiaTheme="minorEastAsia" w:cstheme="minorEastAsia"/>
          <w:sz w:val="22"/>
          <w:szCs w:val="22"/>
          <w:u w:val="single"/>
        </w:rPr>
        <w:t>由承包人承担，项目经理必须确保常驻工地，有事需请假，经发包人同意后方可离开工地，擅自离开且未得到批准处以5000元/次的违约金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3.2.3 承包人擅自更换项目经理的违约责任：</w:t>
      </w:r>
      <w:r>
        <w:rPr>
          <w:rFonts w:hint="eastAsia" w:asciiTheme="minorEastAsia" w:hAnsiTheme="minorEastAsia" w:eastAsiaTheme="minorEastAsia" w:cstheme="minorEastAsia"/>
          <w:sz w:val="22"/>
          <w:szCs w:val="22"/>
          <w:u w:val="single"/>
        </w:rPr>
        <w:t>为确保本工程质量，项目经理在中标后必须到位，未经发包人批准同意，不得更换项目经理。若未经发包人同意擅自更换项目经理，处以本合同造价0.1%违约金。如需更换，应书面征得发包人同意，且必须不低于前任资历（资格、经历）的人员，同时处以经济处罚，特殊情况除外。 </w:t>
      </w:r>
    </w:p>
    <w:p>
      <w:pPr>
        <w:spacing w:line="360" w:lineRule="auto"/>
        <w:ind w:firstLine="385" w:firstLineChars="175"/>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3.2.4 承包人无正当理由拒绝更换项目经理的违约责任：                          </w:t>
      </w:r>
      <w:r>
        <w:rPr>
          <w:rFonts w:hint="eastAsia" w:asciiTheme="minorEastAsia" w:hAnsiTheme="minorEastAsia" w:eastAsiaTheme="minorEastAsia" w:cstheme="minorEastAsia"/>
          <w:sz w:val="22"/>
          <w:szCs w:val="22"/>
          <w:u w:val="single"/>
        </w:rPr>
        <w:t>发包人书面要求更换项目经理，承包人无正当理由拒绝更换，处以本合同造价0.1%违约金。  </w:t>
      </w:r>
      <w:r>
        <w:rPr>
          <w:rFonts w:hint="eastAsia" w:asciiTheme="minorEastAsia" w:hAnsiTheme="minorEastAsia" w:eastAsiaTheme="minorEastAsia" w:cstheme="minorEastAsia"/>
          <w:sz w:val="22"/>
          <w:szCs w:val="22"/>
        </w:rPr>
        <w:t xml:space="preserve">。                               </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3.3 承包人人员</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3.3.1 承包人提交项目管理机构及施工现场管理人员安排报告的期限：</w:t>
      </w:r>
      <w:r>
        <w:rPr>
          <w:rFonts w:hint="eastAsia" w:asciiTheme="minorEastAsia" w:hAnsiTheme="minorEastAsia" w:eastAsiaTheme="minorEastAsia" w:cstheme="minorEastAsia"/>
          <w:sz w:val="22"/>
          <w:szCs w:val="22"/>
          <w:u w:val="single"/>
        </w:rPr>
        <w:t xml:space="preserve"> 开工前14天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3.3.3 承包人无正当理由拒绝撤换主要施工管理人员的违约责任：</w:t>
      </w:r>
      <w:r>
        <w:rPr>
          <w:rFonts w:hint="eastAsia" w:asciiTheme="minorEastAsia" w:hAnsiTheme="minorEastAsia" w:eastAsiaTheme="minorEastAsia" w:cstheme="minorEastAsia"/>
          <w:sz w:val="22"/>
          <w:szCs w:val="22"/>
          <w:u w:val="single"/>
        </w:rPr>
        <w:t xml:space="preserve">发包人书面要求更换主要施工管理人员，承包人无正当理由拒绝更换，处以本合同造价0.05%违约金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 xml:space="preserve">3.3.4 承包人主要施工管理人员离开施工现场的批准要求：   </w:t>
      </w:r>
      <w:r>
        <w:rPr>
          <w:rFonts w:hint="eastAsia" w:asciiTheme="minorEastAsia" w:hAnsiTheme="minorEastAsia" w:eastAsiaTheme="minorEastAsia" w:cstheme="minorEastAsia"/>
          <w:sz w:val="22"/>
          <w:szCs w:val="22"/>
          <w:u w:val="single"/>
        </w:rPr>
        <w:t xml:space="preserve">  经现场总监及发包人同意，但必须确保每周在现场时间不少于5工作日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3.3.5承包人擅自更换主要施工管理人员的违约责任：</w:t>
      </w:r>
      <w:r>
        <w:rPr>
          <w:rFonts w:hint="eastAsia" w:asciiTheme="minorEastAsia" w:hAnsiTheme="minorEastAsia" w:eastAsiaTheme="minorEastAsia" w:cstheme="minorEastAsia"/>
          <w:sz w:val="22"/>
          <w:szCs w:val="22"/>
          <w:u w:val="single"/>
        </w:rPr>
        <w:t>未经发包人批准同意，擅自更换主要施工管理人员，处以本合同造价0.05%违约金</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承包人主要施工管理人员擅自离开施工现场的违约责任：</w:t>
      </w:r>
      <w:r>
        <w:rPr>
          <w:rFonts w:hint="eastAsia" w:asciiTheme="minorEastAsia" w:hAnsiTheme="minorEastAsia" w:eastAsiaTheme="minorEastAsia" w:cstheme="minorEastAsia"/>
          <w:sz w:val="22"/>
          <w:szCs w:val="22"/>
          <w:u w:val="single"/>
        </w:rPr>
        <w:t xml:space="preserve">主要施工管理人员有事离开需请假，经同意后方可离开，擅自离开工地处以3000元/次违约金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3.5 分包</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3.5.1 分包的一般约定</w:t>
      </w:r>
    </w:p>
    <w:p>
      <w:pPr>
        <w:spacing w:line="360" w:lineRule="auto"/>
        <w:ind w:firstLine="48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禁止分包的工程包括：</w:t>
      </w:r>
      <w:r>
        <w:rPr>
          <w:rFonts w:hint="eastAsia" w:asciiTheme="minorEastAsia" w:hAnsiTheme="minorEastAsia" w:eastAsiaTheme="minorEastAsia" w:cstheme="minorEastAsia"/>
          <w:b/>
          <w:bCs/>
          <w:sz w:val="22"/>
          <w:szCs w:val="22"/>
          <w:u w:val="single"/>
        </w:rPr>
        <w:t xml:space="preserve">本工程禁止分包           </w:t>
      </w:r>
      <w:r>
        <w:rPr>
          <w:rFonts w:hint="eastAsia" w:asciiTheme="minorEastAsia" w:hAnsiTheme="minorEastAsia" w:eastAsiaTheme="minorEastAsia" w:cstheme="minorEastAsia"/>
          <w:b/>
          <w:bCs/>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3.6 工程照管与成品、半成品保护</w:t>
      </w:r>
    </w:p>
    <w:p>
      <w:pPr>
        <w:spacing w:before="120" w:after="120" w:line="360" w:lineRule="auto"/>
        <w:ind w:firstLine="480"/>
        <w:rPr>
          <w:rFonts w:asciiTheme="minorEastAsia" w:hAnsiTheme="minorEastAsia" w:eastAsiaTheme="minorEastAsia" w:cstheme="minorEastAsia"/>
          <w:b/>
          <w:bCs/>
          <w:kern w:val="0"/>
          <w:sz w:val="22"/>
          <w:szCs w:val="22"/>
          <w:u w:val="single"/>
        </w:rPr>
      </w:pPr>
      <w:r>
        <w:rPr>
          <w:rFonts w:hint="eastAsia" w:asciiTheme="minorEastAsia" w:hAnsiTheme="minorEastAsia" w:eastAsiaTheme="minorEastAsia" w:cstheme="minorEastAsia"/>
          <w:b/>
          <w:bCs/>
          <w:kern w:val="0"/>
          <w:sz w:val="22"/>
          <w:szCs w:val="22"/>
          <w:u w:val="single"/>
        </w:rPr>
        <w:t>承包人负责照管工程及工程相关的材料、工程设备的起始时间：  开工办理工程移交直至竣工验收移交手续办理完成。</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3.7 履约担保</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承包人是否提供履约担保：</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承包人提供履约担保的形式、金额及期限的：</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keepNext/>
        <w:keepLines/>
        <w:spacing w:before="120" w:after="120" w:line="360" w:lineRule="auto"/>
        <w:outlineLvl w:val="3"/>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4. 监理人</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4.1监理人的一般规定</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关于监理人的监理内容：</w:t>
      </w:r>
      <w:r>
        <w:rPr>
          <w:rFonts w:hint="eastAsia" w:asciiTheme="minorEastAsia" w:hAnsiTheme="minorEastAsia" w:eastAsiaTheme="minorEastAsia" w:cstheme="minorEastAsia"/>
          <w:sz w:val="22"/>
          <w:szCs w:val="22"/>
          <w:u w:val="single"/>
        </w:rPr>
        <w:t xml:space="preserve">     详见监理合同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关于监理人的监理权限：</w:t>
      </w:r>
      <w:r>
        <w:rPr>
          <w:rFonts w:hint="eastAsia" w:asciiTheme="minorEastAsia" w:hAnsiTheme="minorEastAsia" w:eastAsiaTheme="minorEastAsia" w:cstheme="minorEastAsia"/>
          <w:sz w:val="22"/>
          <w:szCs w:val="22"/>
          <w:u w:val="single"/>
        </w:rPr>
        <w:t xml:space="preserve">     详见监理合同    </w:t>
      </w:r>
      <w:r>
        <w:rPr>
          <w:rFonts w:hint="eastAsia" w:asciiTheme="minorEastAsia" w:hAnsiTheme="minorEastAsia" w:eastAsiaTheme="minorEastAsia" w:cstheme="minorEastAsia"/>
          <w:sz w:val="22"/>
          <w:szCs w:val="22"/>
        </w:rPr>
        <w:t xml:space="preserve">。 </w:t>
      </w:r>
    </w:p>
    <w:p>
      <w:pPr>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关于监理人在施工现场的办公场所、生活场所的提供和费用承担的约定：</w:t>
      </w:r>
      <w:r>
        <w:rPr>
          <w:rFonts w:hint="eastAsia" w:asciiTheme="minorEastAsia" w:hAnsiTheme="minorEastAsia" w:eastAsiaTheme="minorEastAsia" w:cstheme="minorEastAsia"/>
          <w:sz w:val="22"/>
          <w:szCs w:val="22"/>
          <w:u w:val="single"/>
        </w:rPr>
        <w:t xml:space="preserve">承包人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4.2 监理人员</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总监理工程师：</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姓    名：</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职    务：</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监理工程师执业资格证书号：</w:t>
      </w:r>
      <w:r>
        <w:rPr>
          <w:rFonts w:hint="eastAsia" w:asciiTheme="minorEastAsia" w:hAnsiTheme="minorEastAsia" w:eastAsiaTheme="minorEastAsia" w:cstheme="minorEastAsia"/>
          <w:sz w:val="22"/>
          <w:szCs w:val="22"/>
          <w:u w:val="single"/>
        </w:rPr>
        <w:t>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电子信箱：</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通信地址：</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关于监理人的其他约定：</w:t>
      </w:r>
      <w:r>
        <w:rPr>
          <w:rFonts w:hint="eastAsia" w:asciiTheme="minorEastAsia" w:hAnsiTheme="minorEastAsia" w:eastAsiaTheme="minorEastAsia" w:cstheme="minorEastAsia"/>
          <w:sz w:val="22"/>
          <w:szCs w:val="22"/>
          <w:u w:val="single"/>
        </w:rPr>
        <w:t>  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4.4 商定或确定</w:t>
      </w:r>
    </w:p>
    <w:p>
      <w:pPr>
        <w:spacing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在发包人和承包人不能通过协商达成一致意见时，发包人授权监理人对以下事项进行确定：</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keepNext/>
        <w:keepLines/>
        <w:spacing w:before="120" w:after="120" w:line="360" w:lineRule="auto"/>
        <w:outlineLvl w:val="3"/>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5. 工程质量</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5.1 质量要求</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5.1.1 特殊质量标准和要求：</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关于工程奖项的约定：</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5.3 隐蔽工程检查</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5.3.2承包人提前通知监理人隐蔽工程检查的期限的约定：</w:t>
      </w:r>
      <w:r>
        <w:rPr>
          <w:rFonts w:hint="eastAsia" w:asciiTheme="minorEastAsia" w:hAnsiTheme="minorEastAsia" w:eastAsiaTheme="minorEastAsia" w:cstheme="minorEastAsia"/>
          <w:sz w:val="22"/>
          <w:szCs w:val="22"/>
          <w:u w:val="single"/>
        </w:rPr>
        <w:t xml:space="preserve"> 48小时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监理人不能按时进行检查时，应提前</w:t>
      </w:r>
      <w:r>
        <w:rPr>
          <w:rFonts w:hint="eastAsia" w:asciiTheme="minorEastAsia" w:hAnsiTheme="minorEastAsia" w:eastAsiaTheme="minorEastAsia" w:cstheme="minorEastAsia"/>
          <w:sz w:val="22"/>
          <w:szCs w:val="22"/>
          <w:u w:val="single"/>
        </w:rPr>
        <w:t xml:space="preserve">  24    </w:t>
      </w:r>
      <w:r>
        <w:rPr>
          <w:rFonts w:hint="eastAsia" w:asciiTheme="minorEastAsia" w:hAnsiTheme="minorEastAsia" w:eastAsiaTheme="minorEastAsia" w:cstheme="minorEastAsia"/>
          <w:sz w:val="22"/>
          <w:szCs w:val="22"/>
        </w:rPr>
        <w:t>小时提交书面延期要求。</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关于延期最长不得超过：</w:t>
      </w:r>
      <w:r>
        <w:rPr>
          <w:rFonts w:hint="eastAsia" w:asciiTheme="minorEastAsia" w:hAnsiTheme="minorEastAsia" w:eastAsiaTheme="minorEastAsia" w:cstheme="minorEastAsia"/>
          <w:sz w:val="22"/>
          <w:szCs w:val="22"/>
          <w:u w:val="single"/>
        </w:rPr>
        <w:t xml:space="preserve">   48    </w:t>
      </w:r>
      <w:r>
        <w:rPr>
          <w:rFonts w:hint="eastAsia" w:asciiTheme="minorEastAsia" w:hAnsiTheme="minorEastAsia" w:eastAsiaTheme="minorEastAsia" w:cstheme="minorEastAsia"/>
          <w:sz w:val="22"/>
          <w:szCs w:val="22"/>
        </w:rPr>
        <w:t>小时。</w:t>
      </w:r>
    </w:p>
    <w:p>
      <w:pPr>
        <w:keepNext/>
        <w:keepLines/>
        <w:spacing w:before="120" w:after="120" w:line="360" w:lineRule="auto"/>
        <w:outlineLvl w:val="3"/>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6. 安全文明施工与环境保护</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6.1安全文明施工</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6.1.1 项目安全生产的达标目标及相应事项的约定：</w:t>
      </w:r>
      <w:r>
        <w:rPr>
          <w:rFonts w:hint="eastAsia" w:asciiTheme="minorEastAsia" w:hAnsiTheme="minorEastAsia" w:eastAsiaTheme="minorEastAsia" w:cstheme="minorEastAsia"/>
          <w:sz w:val="22"/>
          <w:szCs w:val="22"/>
          <w:u w:val="single"/>
        </w:rPr>
        <w:t xml:space="preserve"> 符合建筑行业管理要求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6.1.4 关于治安保卫的特别约定：</w:t>
      </w:r>
      <w:r>
        <w:rPr>
          <w:rFonts w:hint="eastAsia" w:asciiTheme="minorEastAsia" w:hAnsiTheme="minorEastAsia" w:eastAsiaTheme="minorEastAsia" w:cstheme="minorEastAsia"/>
          <w:sz w:val="22"/>
          <w:szCs w:val="22"/>
          <w:u w:val="single"/>
        </w:rPr>
        <w:t xml:space="preserve"> 符合建筑行业及工程所在地行政监督部门管理要求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关于编制施工场地治安管理计划的约定：</w:t>
      </w:r>
      <w:r>
        <w:rPr>
          <w:rFonts w:hint="eastAsia" w:asciiTheme="minorEastAsia" w:hAnsiTheme="minorEastAsia" w:eastAsiaTheme="minorEastAsia" w:cstheme="minorEastAsia"/>
          <w:sz w:val="22"/>
          <w:szCs w:val="22"/>
          <w:u w:val="single"/>
        </w:rPr>
        <w:t xml:space="preserve">    开工前7天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6.1.5 文明施工</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合同当事人对文明施工的要求：</w:t>
      </w:r>
      <w:r>
        <w:rPr>
          <w:rFonts w:hint="eastAsia" w:asciiTheme="minorEastAsia" w:hAnsiTheme="minorEastAsia" w:eastAsiaTheme="minorEastAsia" w:cstheme="minorEastAsia"/>
          <w:sz w:val="22"/>
          <w:szCs w:val="22"/>
          <w:u w:val="single"/>
        </w:rPr>
        <w:t xml:space="preserve">       符合建筑行业管理要求。本工程施工过程中，做到“场地清”无渣土垃圾等现象发生；渣土承运必须选择有资质的单位和车辆；规范处置渣土，不偷倒，不乱倒，加强对渣土运输车辆的营运检查，不允许发生偷倒乱倒渣土和建筑垃圾的现象；竣工结算渣土承运（垃圾外运）费用时，必须出示区废弃物管理所核发的渣土处置行政许可证明后方予结算；如发生不按相关规定处置渣土的情况，经区废弃物管理所核实后，将视情节严重程度扣除安全文明施工费用。承包人须按规定办理施工场地交通，环卫和施工噪音管理等手续，并保证发包人免于受到或承担应由发包人负责的上述事项所引起的或与之有关的索赔，诉讼，损害责任，及其他开支，承包人未能按合同约定完成上述工作时，应承担相应的责任和全部经济损失。在工程施工期间，严格执行《上海市建设工地施工扬尘控制若干规定》通知。承包人由于管理不善，引起政府有关部门罚款，停工整改等处罚，其发生的损失由施工单位自行承担，且发包人保留缓付工程款的权利</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6.1.6 关于安全文明施工费支付比例和支付期限的约定：</w:t>
      </w:r>
      <w:r>
        <w:rPr>
          <w:rFonts w:hint="eastAsia" w:asciiTheme="minorEastAsia" w:hAnsiTheme="minorEastAsia" w:eastAsiaTheme="minorEastAsia" w:cstheme="minorEastAsia"/>
          <w:sz w:val="22"/>
          <w:szCs w:val="22"/>
          <w:u w:val="single"/>
        </w:rPr>
        <w:t xml:space="preserve">与月度进度款申请时同时上报，经监理审核完成后，和工程进度款同时支付   </w:t>
      </w:r>
      <w:r>
        <w:rPr>
          <w:rFonts w:hint="eastAsia" w:asciiTheme="minorEastAsia" w:hAnsiTheme="minorEastAsia" w:eastAsiaTheme="minorEastAsia" w:cstheme="minorEastAsia"/>
          <w:sz w:val="22"/>
          <w:szCs w:val="22"/>
        </w:rPr>
        <w:t>。</w:t>
      </w:r>
    </w:p>
    <w:p>
      <w:pPr>
        <w:keepNext/>
        <w:keepLines/>
        <w:spacing w:before="120" w:after="120" w:line="360" w:lineRule="auto"/>
        <w:outlineLvl w:val="3"/>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7. 工期和进度</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7.1 施工组织设计</w:t>
      </w:r>
    </w:p>
    <w:p>
      <w:pPr>
        <w:autoSpaceDE w:val="0"/>
        <w:autoSpaceDN w:val="0"/>
        <w:adjustRightInd w:val="0"/>
        <w:spacing w:line="360" w:lineRule="auto"/>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sz w:val="22"/>
          <w:szCs w:val="22"/>
        </w:rPr>
        <w:t>7.1.1 合</w:t>
      </w:r>
      <w:r>
        <w:rPr>
          <w:rFonts w:hint="eastAsia" w:asciiTheme="minorEastAsia" w:hAnsiTheme="minorEastAsia" w:eastAsiaTheme="minorEastAsia" w:cstheme="minorEastAsia"/>
          <w:kern w:val="0"/>
          <w:sz w:val="22"/>
          <w:szCs w:val="22"/>
        </w:rPr>
        <w:t>同当事人约定的施工组织设计应包括的其他内容：</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sz w:val="22"/>
          <w:szCs w:val="22"/>
        </w:rPr>
        <w:t xml:space="preserve">7.1.2 </w:t>
      </w:r>
      <w:r>
        <w:rPr>
          <w:rFonts w:hint="eastAsia" w:asciiTheme="minorEastAsia" w:hAnsiTheme="minorEastAsia" w:eastAsiaTheme="minorEastAsia" w:cstheme="minorEastAsia"/>
          <w:kern w:val="0"/>
          <w:sz w:val="22"/>
          <w:szCs w:val="22"/>
        </w:rPr>
        <w:t>施工组织设计的提交和修改</w:t>
      </w:r>
    </w:p>
    <w:p>
      <w:pPr>
        <w:autoSpaceDE w:val="0"/>
        <w:autoSpaceDN w:val="0"/>
        <w:adjustRightInd w:val="0"/>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承包人提交详细施工组织设计的期限的约定：</w:t>
      </w:r>
      <w:r>
        <w:rPr>
          <w:rFonts w:hint="eastAsia" w:asciiTheme="minorEastAsia" w:hAnsiTheme="minorEastAsia" w:eastAsiaTheme="minorEastAsia" w:cstheme="minorEastAsia"/>
          <w:sz w:val="22"/>
          <w:szCs w:val="22"/>
          <w:u w:val="single"/>
        </w:rPr>
        <w:t xml:space="preserve">     开工前14天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发包人和监理人在收到详细的施工组织设计后确认或提出修改意见的期限：</w:t>
      </w:r>
      <w:r>
        <w:rPr>
          <w:rFonts w:hint="eastAsia" w:asciiTheme="minorEastAsia" w:hAnsiTheme="minorEastAsia" w:eastAsiaTheme="minorEastAsia" w:cstheme="minorEastAsia"/>
          <w:sz w:val="22"/>
          <w:szCs w:val="22"/>
          <w:u w:val="single"/>
        </w:rPr>
        <w:t xml:space="preserve">  收到之日起7天内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7.2 施工进度计划</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7.2.2 施工进度计划的修订</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发包人和监理人在收到修订的施工进度计划后确认或提出修改意见的期限：</w:t>
      </w:r>
      <w:r>
        <w:rPr>
          <w:rFonts w:hint="eastAsia" w:asciiTheme="minorEastAsia" w:hAnsiTheme="minorEastAsia" w:eastAsiaTheme="minorEastAsia" w:cstheme="minorEastAsia"/>
          <w:sz w:val="22"/>
          <w:szCs w:val="22"/>
          <w:u w:val="single"/>
        </w:rPr>
        <w:t xml:space="preserve"> 收到之日起7天内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7.3 开工</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7.3.1 开工准备</w:t>
      </w:r>
    </w:p>
    <w:p>
      <w:pPr>
        <w:spacing w:line="360" w:lineRule="auto"/>
        <w:ind w:firstLine="645"/>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关于承包人提交</w:t>
      </w:r>
      <w:r>
        <w:rPr>
          <w:rFonts w:hint="eastAsia" w:asciiTheme="minorEastAsia" w:hAnsiTheme="minorEastAsia" w:eastAsiaTheme="minorEastAsia" w:cstheme="minorEastAsia"/>
          <w:kern w:val="0"/>
          <w:sz w:val="22"/>
          <w:szCs w:val="22"/>
        </w:rPr>
        <w:t>工程开工报审表的期限：</w:t>
      </w:r>
      <w:r>
        <w:rPr>
          <w:rFonts w:hint="eastAsia" w:asciiTheme="minorEastAsia" w:hAnsiTheme="minorEastAsia" w:eastAsiaTheme="minorEastAsia" w:cstheme="minorEastAsia"/>
          <w:sz w:val="22"/>
          <w:szCs w:val="22"/>
          <w:u w:val="single"/>
        </w:rPr>
        <w:t xml:space="preserve">    开工前7天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关于发包人应完成的其他开工准备工作及期限：</w:t>
      </w:r>
      <w:r>
        <w:rPr>
          <w:rFonts w:hint="eastAsia" w:asciiTheme="minorEastAsia" w:hAnsiTheme="minorEastAsia" w:eastAsiaTheme="minorEastAsia" w:cstheme="minorEastAsia"/>
          <w:sz w:val="22"/>
          <w:szCs w:val="22"/>
          <w:u w:val="single"/>
        </w:rPr>
        <w:t xml:space="preserve">    开工前7天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关于承包人应完成的其他开工准备工作及期限：</w:t>
      </w:r>
      <w:r>
        <w:rPr>
          <w:rFonts w:hint="eastAsia" w:asciiTheme="minorEastAsia" w:hAnsiTheme="minorEastAsia" w:eastAsiaTheme="minorEastAsia" w:cstheme="minorEastAsia"/>
          <w:sz w:val="22"/>
          <w:szCs w:val="22"/>
          <w:u w:val="single"/>
        </w:rPr>
        <w:t xml:space="preserve">  开工前3天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7.3.2开工通知</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因发包人原因造成监理人未能在计划开工日期之日起</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天内发出开工通知的，承包人有权提出价格调整要求，或者解除合同。</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7.4 测量放线</w:t>
      </w:r>
    </w:p>
    <w:p>
      <w:pPr>
        <w:spacing w:line="360" w:lineRule="auto"/>
        <w:ind w:firstLine="480"/>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7.4.1发包人通过监理人向承包人提供测量基准点、基准线和水准点及其书面资料的期限：</w:t>
      </w:r>
      <w:r>
        <w:rPr>
          <w:rFonts w:hint="eastAsia" w:asciiTheme="minorEastAsia" w:hAnsiTheme="minorEastAsia" w:eastAsiaTheme="minorEastAsia" w:cstheme="minorEastAsia"/>
          <w:sz w:val="22"/>
          <w:szCs w:val="22"/>
          <w:u w:val="single"/>
        </w:rPr>
        <w:t xml:space="preserve">   开工前3天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7.5 工期延误</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7.5.1 因发包人原因导致工期延误</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（7）因发包人原因导致工期延误的其他情形：</w:t>
      </w:r>
      <w:r>
        <w:rPr>
          <w:rFonts w:hint="eastAsia" w:asciiTheme="minorEastAsia" w:hAnsiTheme="minorEastAsia" w:eastAsiaTheme="minorEastAsia" w:cstheme="minorEastAsia"/>
          <w:sz w:val="22"/>
          <w:szCs w:val="22"/>
          <w:u w:val="single"/>
        </w:rPr>
        <w:t xml:space="preserve">   重大设计变更和新增工程量的；发生不可抗力的；非承包人原因导致工期延误的其他一切情形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7.5.2 因承包人原因导致工期延误</w:t>
      </w:r>
    </w:p>
    <w:p>
      <w:pPr>
        <w:spacing w:line="360" w:lineRule="auto"/>
        <w:ind w:firstLine="480"/>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因承包人原因造成工期延误，逾期竣工违约金的计算方法为：</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u w:val="single"/>
        </w:rPr>
        <w:t xml:space="preserve">  每延误一日历天按工程合同总造价的万分之二扣罚（不足一天按一天计算）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因承包人原因造成工期延误，逾期竣工违约金的上限：</w:t>
      </w:r>
      <w:r>
        <w:rPr>
          <w:rFonts w:hint="eastAsia" w:asciiTheme="minorEastAsia" w:hAnsiTheme="minorEastAsia" w:eastAsiaTheme="minorEastAsia" w:cstheme="minorEastAsia"/>
          <w:sz w:val="22"/>
          <w:szCs w:val="22"/>
          <w:u w:val="single"/>
        </w:rPr>
        <w:t xml:space="preserve">工程合同造价的5%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7.6 不利物质条件</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不利物质条件的其他情形和有关约定：</w:t>
      </w:r>
      <w:r>
        <w:rPr>
          <w:rFonts w:hint="eastAsia" w:asciiTheme="minorEastAsia" w:hAnsiTheme="minorEastAsia" w:eastAsiaTheme="minorEastAsia" w:cstheme="minorEastAsia"/>
          <w:sz w:val="22"/>
          <w:szCs w:val="22"/>
          <w:u w:val="single"/>
        </w:rPr>
        <w:t xml:space="preserve">  5级以上的地震、海啸、空中不明飞行物坠落在施工范围内、其他严重影响施工的自然灾害等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7.7异常恶劣的气候条件</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发包人和承包人同意以下情形视为异常恶劣的气候条件：</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r>
        <w:rPr>
          <w:rFonts w:hint="eastAsia" w:asciiTheme="minorEastAsia" w:hAnsiTheme="minorEastAsia" w:eastAsiaTheme="minorEastAsia" w:cstheme="minorEastAsia"/>
          <w:sz w:val="22"/>
          <w:szCs w:val="22"/>
          <w:u w:val="single"/>
        </w:rPr>
        <w:t xml:space="preserve">   日气温超过38度的高温大于三天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r>
        <w:rPr>
          <w:rFonts w:hint="eastAsia" w:asciiTheme="minorEastAsia" w:hAnsiTheme="minorEastAsia" w:eastAsiaTheme="minorEastAsia" w:cstheme="minorEastAsia"/>
          <w:sz w:val="22"/>
          <w:szCs w:val="22"/>
          <w:u w:val="single"/>
        </w:rPr>
        <w:t xml:space="preserve">   大风、大雪、暴雨、冰雹等影响施工的天气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r>
        <w:rPr>
          <w:rFonts w:hint="eastAsia" w:asciiTheme="minorEastAsia" w:hAnsiTheme="minorEastAsia" w:eastAsiaTheme="minorEastAsia" w:cstheme="minorEastAsia"/>
          <w:sz w:val="22"/>
          <w:szCs w:val="22"/>
          <w:u w:val="single"/>
        </w:rPr>
        <w:t xml:space="preserve">   其他异常恶劣的气候条件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7.9 提前竣工的奖励</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7.9.2提前竣工的奖励：</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keepNext/>
        <w:keepLines/>
        <w:spacing w:before="120" w:after="120" w:line="360" w:lineRule="auto"/>
        <w:outlineLvl w:val="3"/>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8. 材料与设备</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8.4材料与工程设备的保管与使用</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8.4.1发包人供应的材料设备的保管费用的承担：</w:t>
      </w:r>
      <w:r>
        <w:rPr>
          <w:rFonts w:hint="eastAsia" w:asciiTheme="minorEastAsia" w:hAnsiTheme="minorEastAsia" w:eastAsiaTheme="minorEastAsia" w:cstheme="minorEastAsia"/>
          <w:sz w:val="22"/>
          <w:szCs w:val="22"/>
          <w:u w:val="single"/>
        </w:rPr>
        <w:t xml:space="preserve">  承包人承担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8.6 样品</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8.6.1</w:t>
      </w:r>
      <w:r>
        <w:rPr>
          <w:rFonts w:hint="eastAsia" w:asciiTheme="minorEastAsia" w:hAnsiTheme="minorEastAsia" w:eastAsiaTheme="minorEastAsia" w:cstheme="minorEastAsia"/>
          <w:kern w:val="0"/>
          <w:sz w:val="22"/>
          <w:szCs w:val="22"/>
        </w:rPr>
        <w:tab/>
      </w:r>
      <w:r>
        <w:rPr>
          <w:rFonts w:hint="eastAsia" w:asciiTheme="minorEastAsia" w:hAnsiTheme="minorEastAsia" w:eastAsiaTheme="minorEastAsia" w:cstheme="minorEastAsia"/>
          <w:kern w:val="0"/>
          <w:sz w:val="22"/>
          <w:szCs w:val="22"/>
        </w:rPr>
        <w:t>样品的报送与封存</w:t>
      </w:r>
    </w:p>
    <w:p>
      <w:pPr>
        <w:autoSpaceDE w:val="0"/>
        <w:autoSpaceDN w:val="0"/>
        <w:adjustRightInd w:val="0"/>
        <w:spacing w:line="360" w:lineRule="auto"/>
        <w:ind w:firstLine="480"/>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kern w:val="0"/>
          <w:sz w:val="22"/>
          <w:szCs w:val="22"/>
        </w:rPr>
        <w:t>需要承包人报送样品的材料或工程设备，样品的种类、名称、规格、数量要求：</w:t>
      </w:r>
      <w:r>
        <w:rPr>
          <w:rFonts w:hint="eastAsia" w:asciiTheme="minorEastAsia" w:hAnsiTheme="minorEastAsia" w:eastAsiaTheme="minorEastAsia" w:cstheme="minorEastAsia"/>
          <w:sz w:val="22"/>
          <w:szCs w:val="22"/>
          <w:u w:val="single"/>
        </w:rPr>
        <w:t xml:space="preserve">  符合相关管理要求 ：  需要承包人报送样品的材料或工程设备，样品的种类、名称、规格、数量要求：承包人用于现场施工的所有材料、设备、制品等需经设计人、监理代表、投资监理（暂定价材料和设备）以及发包人同意后方可采购和用于施工，否则将承担由此引起的一切损失，详细要求由发包人代表提出。”（注：具体产品由建设单位确定） 。</w:t>
      </w:r>
    </w:p>
    <w:p>
      <w:pPr>
        <w:autoSpaceDE w:val="0"/>
        <w:autoSpaceDN w:val="0"/>
        <w:adjustRightInd w:val="0"/>
        <w:spacing w:line="360" w:lineRule="auto"/>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u w:val="single"/>
        </w:rPr>
        <w:t>其中材料采购约定如下：</w:t>
      </w:r>
    </w:p>
    <w:p>
      <w:pPr>
        <w:autoSpaceDE w:val="0"/>
        <w:autoSpaceDN w:val="0"/>
        <w:adjustRightInd w:val="0"/>
        <w:spacing w:line="360" w:lineRule="auto"/>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u w:val="single"/>
        </w:rPr>
        <w:t>（1）承包方供应材料施工前应在现场见证取样送检，提供材料品牌、产品合格证及检测报告及相关文件、资料（合同证书、测试指标、技术文件、产地证明、进口报关单、装箱单、检验报告、厂方授权书及面积证明、规格、型号等），并承诺原材料均符合国家、行业、地方或团体现行有效标准和规范，样品送经技术监督部门认定具有实验室资质的相关专业检验检测机构检测，并报建设单位、工程监理单位批准后方可进场施工，同时作为材料供应和竣工验收及结算审计时的实物标准。所有进入现场的材料必须由监理和建设单位、设计方书面确认。</w:t>
      </w:r>
    </w:p>
    <w:p>
      <w:pPr>
        <w:autoSpaceDE w:val="0"/>
        <w:autoSpaceDN w:val="0"/>
        <w:adjustRightInd w:val="0"/>
        <w:spacing w:line="360" w:lineRule="auto"/>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u w:val="single"/>
        </w:rPr>
        <w:t>（2）承包方负责采购上述材料时，应严格按照招标文件、合同、发包方要求和有关标准要求采购。大宗材料和主要材料的采购应事先通知发包方与承包方共同进行。承包方在材料设备到货前24小时通知工程师清点、检查、确认。</w:t>
      </w:r>
    </w:p>
    <w:p>
      <w:pPr>
        <w:autoSpaceDE w:val="0"/>
        <w:autoSpaceDN w:val="0"/>
        <w:adjustRightInd w:val="0"/>
        <w:spacing w:line="360" w:lineRule="auto"/>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u w:val="single"/>
        </w:rPr>
        <w:t>（3）承包方采购的材料与发包方要求、设计或标准要求不符时，承包方应按工程师要求的时间运出施工场地，重新采购符合要求的产品，承担由此发生的费用，由此延误的工期不予顺延。</w:t>
      </w:r>
    </w:p>
    <w:p>
      <w:pPr>
        <w:autoSpaceDE w:val="0"/>
        <w:autoSpaceDN w:val="0"/>
        <w:adjustRightInd w:val="0"/>
        <w:spacing w:line="360" w:lineRule="auto"/>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u w:val="single"/>
        </w:rPr>
        <w:t>（4）发包方对承包方采购材料有权要求进行检验或试验，不合格或不符合要求的不得使用，检验或试验费用由承包方承担、检测材料结果作为结算审计依据之一。发包方有权要专业机构进行测试，并将结果通知工程师，经工程师同意后方可使用；测试结果不合格的材料不得使用，承包方应负责修复、拆除或重新采购，并承担发生的费用及赔偿发包方由此产生的损失，由此延误的工期不予顺延。</w:t>
      </w:r>
    </w:p>
    <w:p>
      <w:pPr>
        <w:autoSpaceDE w:val="0"/>
        <w:autoSpaceDN w:val="0"/>
        <w:adjustRightInd w:val="0"/>
        <w:spacing w:line="360" w:lineRule="auto"/>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u w:val="single"/>
        </w:rPr>
        <w:t>（5）双方对工程质量存有争议，任何一方可将争议提交建设工程质量监督站鉴定，该鉴定结论对双方具有最终的约束力。</w:t>
      </w:r>
    </w:p>
    <w:p>
      <w:pPr>
        <w:autoSpaceDE w:val="0"/>
        <w:autoSpaceDN w:val="0"/>
        <w:adjustRightInd w:val="0"/>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u w:val="single"/>
        </w:rPr>
        <w:t xml:space="preserve">（6）承包方应认真按照标准、规范和设计图纸要求施工，随时接受发包方代表、监理工程师检查检验，为检查检验提供便利条件。并按发包方代表和监理工程师的要求返工、修理，承担由自身原因导致返工、修理的费用，工期不予顺延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8.8 施工设备和临时设施</w:t>
      </w:r>
    </w:p>
    <w:p>
      <w:pPr>
        <w:autoSpaceDE w:val="0"/>
        <w:autoSpaceDN w:val="0"/>
        <w:adjustRightInd w:val="0"/>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8.8.1 承包人提供的施工设备和临时设施</w:t>
      </w:r>
    </w:p>
    <w:p>
      <w:pPr>
        <w:autoSpaceDE w:val="0"/>
        <w:autoSpaceDN w:val="0"/>
        <w:adjustRightInd w:val="0"/>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关于修建临时设施费用承担的约定：</w:t>
      </w:r>
      <w:r>
        <w:rPr>
          <w:rFonts w:hint="eastAsia" w:asciiTheme="minorEastAsia" w:hAnsiTheme="minorEastAsia" w:eastAsiaTheme="minorEastAsia" w:cstheme="minorEastAsia"/>
          <w:sz w:val="22"/>
          <w:szCs w:val="22"/>
          <w:u w:val="single"/>
        </w:rPr>
        <w:t xml:space="preserve">   承包人承担   </w:t>
      </w:r>
      <w:r>
        <w:rPr>
          <w:rFonts w:hint="eastAsia" w:asciiTheme="minorEastAsia" w:hAnsiTheme="minorEastAsia" w:eastAsiaTheme="minorEastAsia" w:cstheme="minorEastAsia"/>
          <w:sz w:val="22"/>
          <w:szCs w:val="22"/>
        </w:rPr>
        <w:t>。</w:t>
      </w:r>
    </w:p>
    <w:bookmarkEnd w:id="179"/>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180" w:name="_Toc280868655"/>
      <w:bookmarkStart w:id="181" w:name="_Toc267251424"/>
      <w:bookmarkStart w:id="182" w:name="_Toc280868656"/>
      <w:bookmarkStart w:id="183" w:name="_Toc351203641"/>
      <w:r>
        <w:rPr>
          <w:rFonts w:hint="eastAsia" w:asciiTheme="minorEastAsia" w:hAnsiTheme="minorEastAsia" w:eastAsiaTheme="minorEastAsia" w:cstheme="minorEastAsia"/>
          <w:sz w:val="22"/>
          <w:szCs w:val="22"/>
          <w:lang w:val="zh-CN"/>
        </w:rPr>
        <w:t>9</w:t>
      </w:r>
      <w:bookmarkEnd w:id="180"/>
      <w:bookmarkEnd w:id="181"/>
      <w:bookmarkEnd w:id="182"/>
      <w:bookmarkStart w:id="184" w:name="_Toc303539139"/>
      <w:bookmarkStart w:id="185" w:name="_Toc312677495"/>
      <w:bookmarkStart w:id="186" w:name="_Toc297123533"/>
      <w:bookmarkStart w:id="187" w:name="_Toc300934982"/>
      <w:bookmarkStart w:id="188" w:name="_Toc297216192"/>
      <w:bookmarkStart w:id="189" w:name="_Toc304295559"/>
      <w:bookmarkStart w:id="190" w:name="_Toc312678021"/>
      <w:bookmarkStart w:id="191" w:name="_Toc297048359"/>
      <w:bookmarkStart w:id="192" w:name="_Toc267251427"/>
      <w:bookmarkStart w:id="193" w:name="_Toc296944512"/>
      <w:bookmarkStart w:id="194" w:name="_Toc296891001"/>
      <w:bookmarkStart w:id="195" w:name="_Toc267251428"/>
      <w:bookmarkStart w:id="196" w:name="_Toc296346674"/>
      <w:bookmarkStart w:id="197" w:name="_Toc296891213"/>
      <w:bookmarkStart w:id="198" w:name="_Toc296503173"/>
      <w:bookmarkStart w:id="199" w:name="_Toc292559378"/>
      <w:bookmarkStart w:id="200" w:name="_Toc296347172"/>
      <w:bookmarkStart w:id="201" w:name="_Toc292559883"/>
      <w:bookmarkStart w:id="202" w:name="_Toc297120473"/>
      <w:r>
        <w:rPr>
          <w:rFonts w:hint="eastAsia" w:asciiTheme="minorEastAsia" w:hAnsiTheme="minorEastAsia" w:eastAsiaTheme="minorEastAsia" w:cstheme="minorEastAsia"/>
          <w:sz w:val="22"/>
          <w:szCs w:val="22"/>
          <w:lang w:val="zh-CN"/>
        </w:rPr>
        <w:t>. 试验与检验</w:t>
      </w:r>
      <w:bookmarkEnd w:id="183"/>
    </w:p>
    <w:bookmarkEnd w:id="184"/>
    <w:bookmarkEnd w:id="185"/>
    <w:bookmarkEnd w:id="186"/>
    <w:bookmarkEnd w:id="187"/>
    <w:bookmarkEnd w:id="188"/>
    <w:bookmarkEnd w:id="189"/>
    <w:bookmarkEnd w:id="190"/>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9</w:t>
      </w:r>
      <w:bookmarkStart w:id="203" w:name="_Toc304295560"/>
      <w:bookmarkStart w:id="204" w:name="_Toc300934983"/>
      <w:bookmarkStart w:id="205" w:name="_Toc312678022"/>
      <w:bookmarkStart w:id="206" w:name="_Toc297123534"/>
      <w:bookmarkStart w:id="207" w:name="_Toc312677496"/>
      <w:bookmarkStart w:id="208" w:name="_Toc303539140"/>
      <w:bookmarkStart w:id="209" w:name="_Toc297216193"/>
      <w:r>
        <w:rPr>
          <w:rFonts w:hint="eastAsia" w:asciiTheme="minorEastAsia" w:hAnsiTheme="minorEastAsia" w:eastAsiaTheme="minorEastAsia" w:cstheme="minorEastAsia"/>
          <w:sz w:val="22"/>
          <w:szCs w:val="22"/>
          <w:lang w:val="zh-CN"/>
        </w:rPr>
        <w:t>.1试验设备与试验人员</w:t>
      </w:r>
    </w:p>
    <w:bookmarkEnd w:id="203"/>
    <w:bookmarkEnd w:id="204"/>
    <w:bookmarkEnd w:id="205"/>
    <w:bookmarkEnd w:id="206"/>
    <w:bookmarkEnd w:id="207"/>
    <w:bookmarkEnd w:id="208"/>
    <w:bookmarkEnd w:id="209"/>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w:t>
      </w:r>
      <w:bookmarkStart w:id="210" w:name="_Toc300934984"/>
      <w:bookmarkStart w:id="211" w:name="_Toc297216194"/>
      <w:bookmarkStart w:id="212" w:name="_Toc312678023"/>
      <w:bookmarkStart w:id="213" w:name="_Toc303539141"/>
      <w:bookmarkStart w:id="214" w:name="_Toc297123535"/>
      <w:bookmarkStart w:id="215" w:name="_Toc304295561"/>
      <w:bookmarkStart w:id="216" w:name="_Toc312677497"/>
      <w:bookmarkStart w:id="217" w:name="_Toc318581174"/>
      <w:r>
        <w:rPr>
          <w:rFonts w:hint="eastAsia" w:asciiTheme="minorEastAsia" w:hAnsiTheme="minorEastAsia" w:eastAsiaTheme="minorEastAsia" w:cstheme="minorEastAsia"/>
          <w:sz w:val="22"/>
          <w:szCs w:val="22"/>
        </w:rPr>
        <w:t>.1.2 试验设备</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施工现场需要配置的试验场所：</w:t>
      </w:r>
      <w:bookmarkEnd w:id="210"/>
      <w:bookmarkEnd w:id="211"/>
      <w:bookmarkEnd w:id="212"/>
      <w:bookmarkEnd w:id="213"/>
      <w:bookmarkEnd w:id="214"/>
      <w:bookmarkEnd w:id="215"/>
      <w:bookmarkEnd w:id="216"/>
      <w:bookmarkStart w:id="218" w:name="_Toc304295562"/>
      <w:bookmarkStart w:id="219" w:name="_Toc297216195"/>
      <w:bookmarkStart w:id="220" w:name="_Toc303539142"/>
      <w:bookmarkStart w:id="221" w:name="_Toc297123536"/>
      <w:bookmarkStart w:id="222" w:name="_Toc312678024"/>
      <w:bookmarkStart w:id="223" w:name="_Toc312677498"/>
      <w:bookmarkStart w:id="224" w:name="_Toc300934985"/>
      <w:r>
        <w:rPr>
          <w:rFonts w:hint="eastAsia" w:asciiTheme="minorEastAsia" w:hAnsiTheme="minorEastAsia" w:eastAsiaTheme="minorEastAsia" w:cstheme="minorEastAsia"/>
          <w:sz w:val="22"/>
          <w:szCs w:val="22"/>
          <w:u w:val="single"/>
        </w:rPr>
        <w:t xml:space="preserve">   符合相关管理要求  </w:t>
      </w:r>
      <w:r>
        <w:rPr>
          <w:rFonts w:hint="eastAsia" w:asciiTheme="minorEastAsia" w:hAnsiTheme="minorEastAsia" w:eastAsiaTheme="minorEastAsia" w:cstheme="minorEastAsia"/>
          <w:sz w:val="22"/>
          <w:szCs w:val="22"/>
        </w:rPr>
        <w:t xml:space="preserve">。 </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施工现场需要配备的试验设备：</w:t>
      </w:r>
      <w:r>
        <w:rPr>
          <w:rFonts w:hint="eastAsia" w:asciiTheme="minorEastAsia" w:hAnsiTheme="minorEastAsia" w:eastAsiaTheme="minorEastAsia" w:cstheme="minorEastAsia"/>
          <w:sz w:val="22"/>
          <w:szCs w:val="22"/>
          <w:u w:val="single"/>
        </w:rPr>
        <w:t xml:space="preserve">       符合相关管理要求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施工现场需要具备的其他试验条件：</w:t>
      </w:r>
      <w:r>
        <w:rPr>
          <w:rFonts w:hint="eastAsia" w:asciiTheme="minorEastAsia" w:hAnsiTheme="minorEastAsia" w:eastAsiaTheme="minorEastAsia" w:cstheme="minorEastAsia"/>
          <w:sz w:val="22"/>
          <w:szCs w:val="22"/>
          <w:u w:val="single"/>
        </w:rPr>
        <w:t xml:space="preserve">     符合相关管理要求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 xml:space="preserve">9.4 现场工艺试验 </w:t>
      </w:r>
    </w:p>
    <w:p>
      <w:pPr>
        <w:spacing w:line="360" w:lineRule="auto"/>
        <w:ind w:firstLine="480"/>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现场工艺试验的有关约定：</w:t>
      </w:r>
      <w:r>
        <w:rPr>
          <w:rFonts w:hint="eastAsia" w:asciiTheme="minorEastAsia" w:hAnsiTheme="minorEastAsia" w:eastAsiaTheme="minorEastAsia" w:cstheme="minorEastAsia"/>
          <w:sz w:val="22"/>
          <w:szCs w:val="22"/>
          <w:u w:val="single"/>
        </w:rPr>
        <w:t xml:space="preserve">  符合相关管理要求，承包人承担工程检测费用（含原材料、桩基静载、桩基小应变、门窗和幕墙5性检测、消防检测、防水检测、节能检测、空气检测、不含基坑检测）及平行检测所需相关材料费用。      </w:t>
      </w:r>
    </w:p>
    <w:bookmarkEnd w:id="217"/>
    <w:bookmarkEnd w:id="218"/>
    <w:bookmarkEnd w:id="219"/>
    <w:bookmarkEnd w:id="220"/>
    <w:bookmarkEnd w:id="221"/>
    <w:bookmarkEnd w:id="222"/>
    <w:bookmarkEnd w:id="223"/>
    <w:bookmarkEnd w:id="224"/>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225" w:name="_Toc351203642"/>
      <w:r>
        <w:rPr>
          <w:rFonts w:hint="eastAsia" w:asciiTheme="minorEastAsia" w:hAnsiTheme="minorEastAsia" w:eastAsiaTheme="minorEastAsia" w:cstheme="minorEastAsia"/>
          <w:sz w:val="22"/>
          <w:szCs w:val="22"/>
          <w:lang w:val="zh-CN"/>
        </w:rPr>
        <w:t>1</w:t>
      </w:r>
      <w:bookmarkEnd w:id="191"/>
      <w:bookmarkEnd w:id="192"/>
      <w:bookmarkEnd w:id="193"/>
      <w:bookmarkEnd w:id="194"/>
      <w:bookmarkEnd w:id="195"/>
      <w:bookmarkEnd w:id="196"/>
      <w:bookmarkEnd w:id="197"/>
      <w:bookmarkEnd w:id="198"/>
      <w:bookmarkEnd w:id="199"/>
      <w:bookmarkEnd w:id="200"/>
      <w:bookmarkEnd w:id="201"/>
      <w:bookmarkEnd w:id="202"/>
      <w:bookmarkStart w:id="226" w:name="_Toc303539146"/>
      <w:bookmarkStart w:id="227" w:name="_Toc296346694"/>
      <w:bookmarkStart w:id="228" w:name="_Toc292559903"/>
      <w:bookmarkStart w:id="229" w:name="_Toc297216199"/>
      <w:bookmarkStart w:id="230" w:name="_Toc300934989"/>
      <w:bookmarkStart w:id="231" w:name="_Toc304295566"/>
      <w:bookmarkStart w:id="232" w:name="_Toc297120493"/>
      <w:bookmarkStart w:id="233" w:name="_Toc296891233"/>
      <w:bookmarkStart w:id="234" w:name="_Toc296347192"/>
      <w:bookmarkStart w:id="235" w:name="_Toc297123540"/>
      <w:bookmarkStart w:id="236" w:name="_Toc296503193"/>
      <w:bookmarkStart w:id="237" w:name="_Toc296891021"/>
      <w:bookmarkStart w:id="238" w:name="_Toc296944532"/>
      <w:bookmarkStart w:id="239" w:name="_Toc297048379"/>
      <w:bookmarkStart w:id="240" w:name="_Toc292559398"/>
      <w:bookmarkStart w:id="241" w:name="_Toc312678025"/>
      <w:bookmarkStart w:id="242" w:name="_Toc312677499"/>
      <w:bookmarkStart w:id="243" w:name="_Toc267251439"/>
      <w:bookmarkStart w:id="244" w:name="_Toc267251437"/>
      <w:bookmarkStart w:id="245" w:name="_Toc267251433"/>
      <w:bookmarkStart w:id="246" w:name="_Toc267251441"/>
      <w:bookmarkStart w:id="247" w:name="_Toc267251435"/>
      <w:bookmarkStart w:id="248" w:name="_Toc267251440"/>
      <w:bookmarkStart w:id="249" w:name="_Toc267251442"/>
      <w:r>
        <w:rPr>
          <w:rFonts w:hint="eastAsia" w:asciiTheme="minorEastAsia" w:hAnsiTheme="minorEastAsia" w:eastAsiaTheme="minorEastAsia" w:cstheme="minorEastAsia"/>
          <w:sz w:val="22"/>
          <w:szCs w:val="22"/>
          <w:lang w:val="zh-CN"/>
        </w:rPr>
        <w:t>0. 变更</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bookmarkEnd w:id="241"/>
    <w:bookmarkEnd w:id="242"/>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w:t>
      </w:r>
      <w:bookmarkStart w:id="250" w:name="_Toc297123541"/>
      <w:bookmarkStart w:id="251" w:name="_Toc296503194"/>
      <w:bookmarkStart w:id="252" w:name="_Toc297120494"/>
      <w:bookmarkStart w:id="253" w:name="_Toc303539147"/>
      <w:bookmarkStart w:id="254" w:name="_Toc297048380"/>
      <w:bookmarkStart w:id="255" w:name="_Toc297216200"/>
      <w:bookmarkStart w:id="256" w:name="_Toc292559904"/>
      <w:bookmarkStart w:id="257" w:name="_Toc296944533"/>
      <w:bookmarkStart w:id="258" w:name="_Toc296891234"/>
      <w:bookmarkStart w:id="259" w:name="_Toc296891022"/>
      <w:bookmarkStart w:id="260" w:name="_Toc312678026"/>
      <w:bookmarkStart w:id="261" w:name="_Toc304295567"/>
      <w:bookmarkStart w:id="262" w:name="_Toc312677500"/>
      <w:bookmarkStart w:id="263" w:name="_Toc296347193"/>
      <w:bookmarkStart w:id="264" w:name="_Toc296346695"/>
      <w:bookmarkStart w:id="265" w:name="_Toc300934990"/>
      <w:bookmarkStart w:id="266" w:name="_Toc292559399"/>
      <w:r>
        <w:rPr>
          <w:rFonts w:hint="eastAsia" w:asciiTheme="minorEastAsia" w:hAnsiTheme="minorEastAsia" w:eastAsiaTheme="minorEastAsia" w:cstheme="minorEastAsia"/>
          <w:sz w:val="22"/>
          <w:szCs w:val="22"/>
          <w:lang w:val="zh-CN"/>
        </w:rPr>
        <w:t>0.1变更的范围</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关于变更的范围的约定：</w:t>
      </w:r>
      <w:r>
        <w:rPr>
          <w:rFonts w:hint="eastAsia" w:asciiTheme="minorEastAsia" w:hAnsiTheme="minorEastAsia" w:eastAsiaTheme="minorEastAsia" w:cstheme="minorEastAsia"/>
          <w:sz w:val="22"/>
          <w:szCs w:val="22"/>
          <w:u w:val="single"/>
        </w:rPr>
        <w:t xml:space="preserve">  设计变更及技术核定单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10.4 变更估价</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10.4.1 变更估价原则</w:t>
      </w:r>
    </w:p>
    <w:p>
      <w:pPr>
        <w:spacing w:line="360" w:lineRule="auto"/>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 xml:space="preserve">关于变更估价的约定: </w:t>
      </w:r>
      <w:r>
        <w:rPr>
          <w:rFonts w:hint="eastAsia" w:asciiTheme="minorEastAsia" w:hAnsiTheme="minorEastAsia" w:eastAsiaTheme="minorEastAsia" w:cstheme="minorEastAsia"/>
          <w:sz w:val="22"/>
          <w:szCs w:val="22"/>
          <w:u w:val="single"/>
        </w:rPr>
        <w:t xml:space="preserve">   新增单价按照上海市建筑和装饰预算定额（SH01-31-2016）等相关定额消耗量、投标报价时的工料机单价及费率进行组价，投标报价中无工料机单价的，按市场施工期信息价平均价或批价执行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Start w:id="267" w:name="_Toc292559907"/>
      <w:bookmarkStart w:id="268" w:name="_Toc296944536"/>
      <w:bookmarkStart w:id="269" w:name="_Toc296503197"/>
      <w:bookmarkStart w:id="270" w:name="_Toc296891237"/>
      <w:bookmarkStart w:id="271" w:name="_Toc296891025"/>
      <w:bookmarkStart w:id="272" w:name="_Toc297120497"/>
      <w:bookmarkStart w:id="273" w:name="_Toc297048383"/>
      <w:bookmarkStart w:id="274" w:name="_Toc300934993"/>
      <w:bookmarkStart w:id="275" w:name="_Toc292559402"/>
      <w:bookmarkStart w:id="276" w:name="_Toc297123544"/>
      <w:bookmarkStart w:id="277" w:name="_Toc296346698"/>
      <w:bookmarkStart w:id="278" w:name="_Toc297216203"/>
      <w:bookmarkStart w:id="279" w:name="_Toc296347196"/>
      <w:bookmarkStart w:id="280" w:name="_Toc303539150"/>
      <w:bookmarkStart w:id="281" w:name="_Toc312678029"/>
      <w:bookmarkStart w:id="282" w:name="_Toc304295570"/>
      <w:bookmarkStart w:id="283" w:name="_Toc312677503"/>
      <w:r>
        <w:rPr>
          <w:rFonts w:hint="eastAsia" w:asciiTheme="minorEastAsia" w:hAnsiTheme="minorEastAsia" w:eastAsiaTheme="minorEastAsia" w:cstheme="minorEastAsia"/>
          <w:sz w:val="22"/>
          <w:szCs w:val="22"/>
          <w:lang w:val="zh-CN"/>
        </w:rPr>
        <w:t>0.5承</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Start w:id="284" w:name="_Toc297216204"/>
      <w:bookmarkStart w:id="285" w:name="_Toc296891243"/>
      <w:bookmarkStart w:id="286" w:name="_Toc296503203"/>
      <w:bookmarkStart w:id="287" w:name="_Toc297120503"/>
      <w:bookmarkStart w:id="288" w:name="_Toc296891031"/>
      <w:bookmarkStart w:id="289" w:name="_Toc300934994"/>
      <w:bookmarkStart w:id="290" w:name="_Toc296347202"/>
      <w:bookmarkStart w:id="291" w:name="_Toc292559408"/>
      <w:bookmarkStart w:id="292" w:name="_Toc296944542"/>
      <w:bookmarkStart w:id="293" w:name="_Toc296346704"/>
      <w:bookmarkStart w:id="294" w:name="_Toc303539151"/>
      <w:bookmarkStart w:id="295" w:name="_Toc292559913"/>
      <w:bookmarkStart w:id="296" w:name="_Toc297048389"/>
      <w:bookmarkStart w:id="297" w:name="_Toc297123545"/>
      <w:r>
        <w:rPr>
          <w:rFonts w:hint="eastAsia" w:asciiTheme="minorEastAsia" w:hAnsiTheme="minorEastAsia" w:eastAsiaTheme="minorEastAsia" w:cstheme="minorEastAsia"/>
          <w:sz w:val="22"/>
          <w:szCs w:val="22"/>
          <w:lang w:val="zh-CN"/>
        </w:rPr>
        <w:t>包人的合理化建议</w:t>
      </w:r>
    </w:p>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监理人审查承包人合理化建议的期限：</w:t>
      </w:r>
      <w:r>
        <w:rPr>
          <w:rFonts w:hint="eastAsia" w:asciiTheme="minorEastAsia" w:hAnsiTheme="minorEastAsia" w:eastAsiaTheme="minorEastAsia" w:cstheme="minorEastAsia"/>
          <w:sz w:val="22"/>
          <w:szCs w:val="22"/>
          <w:u w:val="single"/>
        </w:rPr>
        <w:t xml:space="preserve">        3天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发包人审批承包人合理化建议的期限：</w:t>
      </w:r>
      <w:r>
        <w:rPr>
          <w:rFonts w:hint="eastAsia" w:asciiTheme="minorEastAsia" w:hAnsiTheme="minorEastAsia" w:eastAsiaTheme="minorEastAsia" w:cstheme="minorEastAsia"/>
          <w:sz w:val="22"/>
          <w:szCs w:val="22"/>
          <w:u w:val="single"/>
        </w:rPr>
        <w:t xml:space="preserve">        3天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承</w:t>
      </w:r>
      <w:bookmarkStart w:id="298" w:name="_Toc312678030"/>
      <w:bookmarkStart w:id="299" w:name="_Toc296347203"/>
      <w:bookmarkStart w:id="300" w:name="_Toc297120504"/>
      <w:bookmarkStart w:id="301" w:name="_Toc296891032"/>
      <w:bookmarkStart w:id="302" w:name="_Toc296503204"/>
      <w:bookmarkStart w:id="303" w:name="_Toc296891244"/>
      <w:bookmarkStart w:id="304" w:name="_Toc292559914"/>
      <w:bookmarkStart w:id="305" w:name="_Toc300934995"/>
      <w:bookmarkStart w:id="306" w:name="_Toc312677504"/>
      <w:bookmarkStart w:id="307" w:name="_Toc318581175"/>
      <w:bookmarkStart w:id="308" w:name="_Toc296944543"/>
      <w:bookmarkStart w:id="309" w:name="_Toc297216205"/>
      <w:bookmarkStart w:id="310" w:name="_Toc297123546"/>
      <w:bookmarkStart w:id="311" w:name="_Toc292559409"/>
      <w:bookmarkStart w:id="312" w:name="_Toc304295571"/>
      <w:bookmarkStart w:id="313" w:name="_Toc296346705"/>
      <w:bookmarkStart w:id="314" w:name="_Toc297048390"/>
      <w:bookmarkStart w:id="315" w:name="_Toc303539152"/>
      <w:r>
        <w:rPr>
          <w:rFonts w:hint="eastAsia" w:asciiTheme="minorEastAsia" w:hAnsiTheme="minorEastAsia" w:eastAsiaTheme="minorEastAsia" w:cstheme="minorEastAsia"/>
          <w:sz w:val="22"/>
          <w:szCs w:val="22"/>
        </w:rPr>
        <w:t>包人提出的合理化建议降低了合同价格或者提高了工程经济效益的奖励的方法和金额为：</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w:t>
      </w:r>
      <w:bookmarkStart w:id="316" w:name="_Toc303539154"/>
      <w:bookmarkStart w:id="317" w:name="_Toc296347198"/>
      <w:bookmarkStart w:id="318" w:name="_Toc297216207"/>
      <w:bookmarkStart w:id="319" w:name="_Toc297120499"/>
      <w:bookmarkStart w:id="320" w:name="_Toc304295574"/>
      <w:bookmarkStart w:id="321" w:name="_Toc312678033"/>
      <w:bookmarkStart w:id="322" w:name="_Toc292559404"/>
      <w:bookmarkStart w:id="323" w:name="_Toc296503199"/>
      <w:bookmarkStart w:id="324" w:name="_Toc292559909"/>
      <w:bookmarkStart w:id="325" w:name="_Toc296346700"/>
      <w:bookmarkStart w:id="326" w:name="_Toc296891239"/>
      <w:bookmarkStart w:id="327" w:name="_Toc296944538"/>
      <w:bookmarkStart w:id="328" w:name="_Toc296891027"/>
      <w:bookmarkStart w:id="329" w:name="_Toc312677507"/>
      <w:bookmarkStart w:id="330" w:name="_Toc297048385"/>
      <w:bookmarkStart w:id="331" w:name="_Toc297123548"/>
      <w:bookmarkStart w:id="332" w:name="_Toc300934997"/>
      <w:r>
        <w:rPr>
          <w:rFonts w:hint="eastAsia" w:asciiTheme="minorEastAsia" w:hAnsiTheme="minorEastAsia" w:eastAsiaTheme="minorEastAsia" w:cstheme="minorEastAsia"/>
          <w:sz w:val="22"/>
          <w:szCs w:val="22"/>
          <w:lang w:val="zh-CN"/>
        </w:rPr>
        <w:t>0.7 暂估价</w:t>
      </w:r>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暂</w:t>
      </w:r>
      <w:bookmarkStart w:id="333" w:name="_Toc318581176"/>
      <w:bookmarkStart w:id="334" w:name="_Toc312678034"/>
      <w:bookmarkStart w:id="335" w:name="_Toc312677508"/>
      <w:r>
        <w:rPr>
          <w:rFonts w:hint="eastAsia" w:asciiTheme="minorEastAsia" w:hAnsiTheme="minorEastAsia" w:eastAsiaTheme="minorEastAsia" w:cstheme="minorEastAsia"/>
          <w:kern w:val="0"/>
          <w:sz w:val="22"/>
          <w:szCs w:val="22"/>
        </w:rPr>
        <w:t>估价材料和工程设备的明细详见</w:t>
      </w:r>
      <w:r>
        <w:rPr>
          <w:rFonts w:hint="eastAsia" w:asciiTheme="minorEastAsia" w:hAnsiTheme="minorEastAsia" w:eastAsiaTheme="minorEastAsia" w:cstheme="minorEastAsia"/>
          <w:kern w:val="0"/>
          <w:sz w:val="22"/>
          <w:szCs w:val="22"/>
          <w:u w:val="single"/>
        </w:rPr>
        <w:t>工程量清单</w:t>
      </w:r>
      <w:r>
        <w:rPr>
          <w:rFonts w:hint="eastAsia" w:asciiTheme="minorEastAsia" w:hAnsiTheme="minorEastAsia" w:eastAsiaTheme="minorEastAsia" w:cstheme="minorEastAsia"/>
          <w:kern w:val="0"/>
          <w:sz w:val="22"/>
          <w:szCs w:val="22"/>
        </w:rPr>
        <w:t>。</w:t>
      </w:r>
    </w:p>
    <w:bookmarkEnd w:id="333"/>
    <w:bookmarkEnd w:id="334"/>
    <w:bookmarkEnd w:id="335"/>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bookmarkStart w:id="336" w:name="_Toc318581177"/>
      <w:bookmarkStart w:id="337" w:name="_Toc312678035"/>
      <w:bookmarkStart w:id="338" w:name="_Toc312677509"/>
      <w:r>
        <w:rPr>
          <w:rFonts w:hint="eastAsia" w:asciiTheme="minorEastAsia" w:hAnsiTheme="minorEastAsia" w:eastAsiaTheme="minorEastAsia" w:cstheme="minorEastAsia"/>
          <w:sz w:val="22"/>
          <w:szCs w:val="22"/>
        </w:rPr>
        <w:t>0.7.1 依法必须招标的暂估价项目</w:t>
      </w:r>
    </w:p>
    <w:bookmarkEnd w:id="336"/>
    <w:bookmarkEnd w:id="337"/>
    <w:bookmarkEnd w:id="338"/>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对于依法必须招标的暂估价项目的确认和批准采取第</w:t>
      </w:r>
      <w:r>
        <w:rPr>
          <w:rFonts w:hint="eastAsia" w:asciiTheme="minorEastAsia" w:hAnsiTheme="minorEastAsia" w:eastAsiaTheme="minorEastAsia" w:cstheme="minorEastAsia"/>
          <w:sz w:val="22"/>
          <w:szCs w:val="22"/>
          <w:u w:val="single"/>
        </w:rPr>
        <w:t xml:space="preserve"> （2）  </w:t>
      </w:r>
      <w:r>
        <w:rPr>
          <w:rFonts w:hint="eastAsia" w:asciiTheme="minorEastAsia" w:hAnsiTheme="minorEastAsia" w:eastAsiaTheme="minorEastAsia" w:cstheme="minorEastAsia"/>
          <w:sz w:val="22"/>
          <w:szCs w:val="22"/>
        </w:rPr>
        <w:t>种方式确定。</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10.7.2 不属于依法必须招标的暂估价项目</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对于不属于依法必须招标的暂估价项目的确认和批准采取第</w:t>
      </w:r>
      <w:r>
        <w:rPr>
          <w:rFonts w:hint="eastAsia" w:asciiTheme="minorEastAsia" w:hAnsiTheme="minorEastAsia" w:eastAsiaTheme="minorEastAsia" w:cstheme="minorEastAsia"/>
          <w:sz w:val="22"/>
          <w:szCs w:val="22"/>
          <w:u w:val="single"/>
        </w:rPr>
        <w:t xml:space="preserve">10.7.1中的（2） </w:t>
      </w:r>
      <w:r>
        <w:rPr>
          <w:rFonts w:hint="eastAsia" w:asciiTheme="minorEastAsia" w:hAnsiTheme="minorEastAsia" w:eastAsiaTheme="minorEastAsia" w:cstheme="minorEastAsia"/>
          <w:sz w:val="22"/>
          <w:szCs w:val="22"/>
        </w:rPr>
        <w:t xml:space="preserve"> 种方式确定。</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sz w:val="22"/>
          <w:szCs w:val="22"/>
        </w:rPr>
        <w:t>第3种方式：</w:t>
      </w:r>
      <w:r>
        <w:rPr>
          <w:rFonts w:hint="eastAsia" w:asciiTheme="minorEastAsia" w:hAnsiTheme="minorEastAsia" w:eastAsiaTheme="minorEastAsia" w:cstheme="minorEastAsia"/>
          <w:kern w:val="0"/>
          <w:sz w:val="22"/>
          <w:szCs w:val="22"/>
        </w:rPr>
        <w:t>承包人直接实施的暂估价项目</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承包人直接实施的暂估价项目的约定：</w:t>
      </w:r>
      <w:r>
        <w:rPr>
          <w:rFonts w:hint="eastAsia" w:asciiTheme="minorEastAsia" w:hAnsiTheme="minorEastAsia" w:eastAsiaTheme="minorEastAsia" w:cstheme="minorEastAsia"/>
          <w:sz w:val="22"/>
          <w:szCs w:val="22"/>
          <w:u w:val="single"/>
        </w:rPr>
        <w:t xml:space="preserve">   双方实施过程中协商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10.8 暂列金额</w:t>
      </w:r>
    </w:p>
    <w:p>
      <w:pPr>
        <w:autoSpaceDE w:val="0"/>
        <w:autoSpaceDN w:val="0"/>
        <w:adjustRightInd w:val="0"/>
        <w:spacing w:line="360" w:lineRule="auto"/>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合同当事人关于暂列金额使用的约定：</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kern w:val="0"/>
          <w:sz w:val="22"/>
          <w:szCs w:val="22"/>
        </w:rPr>
        <w:t>。</w:t>
      </w:r>
    </w:p>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339" w:name="_Toc351203643"/>
      <w:r>
        <w:rPr>
          <w:rFonts w:hint="eastAsia" w:asciiTheme="minorEastAsia" w:hAnsiTheme="minorEastAsia" w:eastAsiaTheme="minorEastAsia" w:cstheme="minorEastAsia"/>
          <w:sz w:val="22"/>
          <w:szCs w:val="22"/>
          <w:lang w:val="zh-CN"/>
        </w:rPr>
        <w:t>11. 价格调整</w:t>
      </w:r>
      <w:bookmarkEnd w:id="339"/>
    </w:p>
    <w:p>
      <w:pPr>
        <w:keepNext/>
        <w:keepLines/>
        <w:spacing w:before="120" w:after="120" w:line="360" w:lineRule="auto"/>
        <w:ind w:left="480"/>
        <w:outlineLvl w:val="4"/>
        <w:rPr>
          <w:rFonts w:asciiTheme="minorEastAsia" w:hAnsiTheme="minorEastAsia" w:eastAsiaTheme="minorEastAsia" w:cstheme="minorEastAsia"/>
          <w:b/>
          <w:bCs/>
          <w:sz w:val="22"/>
          <w:szCs w:val="22"/>
          <w:lang w:val="zh-CN"/>
        </w:rPr>
      </w:pPr>
      <w:bookmarkStart w:id="340" w:name="_Toc296944540"/>
      <w:bookmarkStart w:id="341" w:name="_Toc296891029"/>
      <w:bookmarkStart w:id="342" w:name="_Toc303539157"/>
      <w:bookmarkStart w:id="343" w:name="_Toc304295577"/>
      <w:bookmarkStart w:id="344" w:name="_Toc292559911"/>
      <w:bookmarkStart w:id="345" w:name="_Toc300935000"/>
      <w:bookmarkStart w:id="346" w:name="_Toc296346702"/>
      <w:bookmarkStart w:id="347" w:name="_Toc297120501"/>
      <w:bookmarkStart w:id="348" w:name="_Toc296347200"/>
      <w:bookmarkStart w:id="349" w:name="_Toc296503201"/>
      <w:bookmarkStart w:id="350" w:name="_Toc297216209"/>
      <w:bookmarkStart w:id="351" w:name="_Toc292559406"/>
      <w:bookmarkStart w:id="352" w:name="_Toc296891241"/>
      <w:bookmarkStart w:id="353" w:name="_Toc297123550"/>
      <w:bookmarkStart w:id="354" w:name="_Toc297048387"/>
      <w:bookmarkStart w:id="355" w:name="_Toc312678039"/>
      <w:r>
        <w:rPr>
          <w:rFonts w:hint="eastAsia" w:asciiTheme="minorEastAsia" w:hAnsiTheme="minorEastAsia" w:eastAsiaTheme="minorEastAsia" w:cstheme="minorEastAsia"/>
          <w:b/>
          <w:bCs/>
          <w:sz w:val="22"/>
          <w:szCs w:val="22"/>
          <w:lang w:val="zh-CN"/>
        </w:rPr>
        <w:t>11.1 市场价格波动引起的调整</w:t>
      </w:r>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Pr>
        <w:spacing w:line="360" w:lineRule="auto"/>
        <w:ind w:firstLine="48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kern w:val="0"/>
          <w:sz w:val="22"/>
          <w:szCs w:val="22"/>
        </w:rPr>
        <w:t>市场价格波动是否调整合同价格的约定：</w:t>
      </w:r>
      <w:r>
        <w:rPr>
          <w:rFonts w:hint="eastAsia" w:asciiTheme="minorEastAsia" w:hAnsiTheme="minorEastAsia" w:eastAsiaTheme="minorEastAsia" w:cstheme="minorEastAsia"/>
          <w:b/>
          <w:bCs/>
          <w:sz w:val="22"/>
          <w:szCs w:val="22"/>
          <w:u w:val="single"/>
        </w:rPr>
        <w:t xml:space="preserve">    不调整       </w:t>
      </w:r>
      <w:r>
        <w:rPr>
          <w:rFonts w:hint="eastAsia" w:asciiTheme="minorEastAsia" w:hAnsiTheme="minorEastAsia" w:eastAsiaTheme="minorEastAsia" w:cstheme="minorEastAsia"/>
          <w:b/>
          <w:bCs/>
          <w:sz w:val="22"/>
          <w:szCs w:val="22"/>
        </w:rPr>
        <w:t>。</w:t>
      </w:r>
    </w:p>
    <w:bookmarkEnd w:id="243"/>
    <w:bookmarkEnd w:id="244"/>
    <w:bookmarkEnd w:id="245"/>
    <w:bookmarkEnd w:id="246"/>
    <w:bookmarkEnd w:id="247"/>
    <w:bookmarkEnd w:id="248"/>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356" w:name="_Toc296347204"/>
      <w:bookmarkStart w:id="357" w:name="_Toc292559410"/>
      <w:bookmarkStart w:id="358" w:name="_Toc297120505"/>
      <w:bookmarkStart w:id="359" w:name="_Toc296944544"/>
      <w:bookmarkStart w:id="360" w:name="_Toc296891033"/>
      <w:bookmarkStart w:id="361" w:name="_Toc297048391"/>
      <w:bookmarkStart w:id="362" w:name="_Toc296346706"/>
      <w:bookmarkStart w:id="363" w:name="_Toc292559915"/>
      <w:bookmarkStart w:id="364" w:name="_Toc296891245"/>
      <w:bookmarkStart w:id="365" w:name="_Toc296503205"/>
      <w:bookmarkStart w:id="366" w:name="_Toc351203644"/>
      <w:bookmarkStart w:id="367" w:name="_Toc300935002"/>
      <w:bookmarkStart w:id="368" w:name="_Toc297216211"/>
      <w:bookmarkStart w:id="369" w:name="_Toc312678040"/>
      <w:bookmarkStart w:id="370" w:name="_Toc304295579"/>
      <w:bookmarkStart w:id="371" w:name="_Toc303539159"/>
      <w:bookmarkStart w:id="372" w:name="_Toc297123552"/>
      <w:r>
        <w:rPr>
          <w:rFonts w:hint="eastAsia" w:asciiTheme="minorEastAsia" w:hAnsiTheme="minorEastAsia" w:eastAsiaTheme="minorEastAsia" w:cstheme="minorEastAsia"/>
          <w:sz w:val="22"/>
          <w:szCs w:val="22"/>
          <w:lang w:val="zh-CN"/>
        </w:rPr>
        <w:t xml:space="preserve">12. </w:t>
      </w:r>
      <w:bookmarkEnd w:id="356"/>
      <w:bookmarkEnd w:id="357"/>
      <w:bookmarkEnd w:id="358"/>
      <w:bookmarkEnd w:id="359"/>
      <w:bookmarkEnd w:id="360"/>
      <w:bookmarkEnd w:id="361"/>
      <w:bookmarkEnd w:id="362"/>
      <w:bookmarkEnd w:id="363"/>
      <w:bookmarkEnd w:id="364"/>
      <w:bookmarkEnd w:id="365"/>
      <w:r>
        <w:rPr>
          <w:rFonts w:hint="eastAsia" w:asciiTheme="minorEastAsia" w:hAnsiTheme="minorEastAsia" w:eastAsiaTheme="minorEastAsia" w:cstheme="minorEastAsia"/>
          <w:sz w:val="22"/>
          <w:szCs w:val="22"/>
          <w:lang w:val="zh-CN"/>
        </w:rPr>
        <w:t>合同价格、计量与支付</w:t>
      </w:r>
      <w:bookmarkEnd w:id="366"/>
    </w:p>
    <w:bookmarkEnd w:id="367"/>
    <w:bookmarkEnd w:id="368"/>
    <w:bookmarkEnd w:id="369"/>
    <w:bookmarkEnd w:id="370"/>
    <w:bookmarkEnd w:id="371"/>
    <w:bookmarkEnd w:id="372"/>
    <w:p>
      <w:pPr>
        <w:keepNext/>
        <w:keepLines/>
        <w:spacing w:before="120" w:after="120" w:line="360" w:lineRule="auto"/>
        <w:ind w:left="480"/>
        <w:outlineLvl w:val="4"/>
        <w:rPr>
          <w:rFonts w:asciiTheme="minorEastAsia" w:hAnsiTheme="minorEastAsia" w:eastAsiaTheme="minorEastAsia" w:cstheme="minorEastAsia"/>
          <w:sz w:val="22"/>
          <w:szCs w:val="22"/>
          <w:lang w:val="zh-CN"/>
        </w:rPr>
      </w:pPr>
      <w:bookmarkStart w:id="373" w:name="_Toc292559916"/>
      <w:bookmarkStart w:id="374" w:name="_Toc267251461"/>
      <w:bookmarkStart w:id="375" w:name="_Toc292559411"/>
      <w:bookmarkStart w:id="376" w:name="_Toc296347205"/>
      <w:bookmarkStart w:id="377" w:name="_Toc296891246"/>
      <w:bookmarkStart w:id="378" w:name="_Toc296891034"/>
      <w:bookmarkStart w:id="379" w:name="_Toc297120506"/>
      <w:bookmarkStart w:id="380" w:name="_Toc297048392"/>
      <w:bookmarkStart w:id="381" w:name="_Toc296944545"/>
      <w:bookmarkStart w:id="382" w:name="_Toc296346707"/>
      <w:bookmarkStart w:id="383" w:name="_Toc296503206"/>
      <w:bookmarkStart w:id="384" w:name="_Toc304295580"/>
      <w:bookmarkStart w:id="385" w:name="_Toc297123553"/>
      <w:bookmarkStart w:id="386" w:name="_Toc303539160"/>
      <w:bookmarkStart w:id="387" w:name="_Toc300935003"/>
      <w:bookmarkStart w:id="388" w:name="_Toc297216212"/>
      <w:bookmarkStart w:id="389" w:name="_Toc312678041"/>
      <w:r>
        <w:rPr>
          <w:rFonts w:hint="eastAsia" w:asciiTheme="minorEastAsia" w:hAnsiTheme="minorEastAsia" w:eastAsiaTheme="minorEastAsia" w:cstheme="minorEastAsia"/>
          <w:sz w:val="22"/>
          <w:szCs w:val="22"/>
          <w:lang w:val="zh-CN"/>
        </w:rPr>
        <w:t>12.1 合</w:t>
      </w:r>
      <w:bookmarkEnd w:id="373"/>
      <w:bookmarkEnd w:id="374"/>
      <w:bookmarkEnd w:id="375"/>
      <w:r>
        <w:rPr>
          <w:rFonts w:hint="eastAsia" w:asciiTheme="minorEastAsia" w:hAnsiTheme="minorEastAsia" w:eastAsiaTheme="minorEastAsia" w:cstheme="minorEastAsia"/>
          <w:sz w:val="22"/>
          <w:szCs w:val="22"/>
          <w:lang w:val="zh-CN"/>
        </w:rPr>
        <w:t>同价</w:t>
      </w:r>
      <w:bookmarkEnd w:id="376"/>
      <w:bookmarkEnd w:id="377"/>
      <w:bookmarkEnd w:id="378"/>
      <w:bookmarkEnd w:id="379"/>
      <w:bookmarkEnd w:id="380"/>
      <w:bookmarkEnd w:id="381"/>
      <w:bookmarkEnd w:id="382"/>
      <w:bookmarkEnd w:id="383"/>
      <w:r>
        <w:rPr>
          <w:rFonts w:hint="eastAsia" w:asciiTheme="minorEastAsia" w:hAnsiTheme="minorEastAsia" w:eastAsiaTheme="minorEastAsia" w:cstheme="minorEastAsia"/>
          <w:sz w:val="22"/>
          <w:szCs w:val="22"/>
          <w:lang w:val="zh-CN"/>
        </w:rPr>
        <w:t>格形式</w:t>
      </w:r>
    </w:p>
    <w:bookmarkEnd w:id="384"/>
    <w:bookmarkEnd w:id="385"/>
    <w:bookmarkEnd w:id="386"/>
    <w:bookmarkEnd w:id="387"/>
    <w:bookmarkEnd w:id="388"/>
    <w:bookmarkEnd w:id="389"/>
    <w:p>
      <w:pPr>
        <w:spacing w:line="360" w:lineRule="auto"/>
        <w:ind w:firstLine="48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1、单价合同。</w:t>
      </w:r>
    </w:p>
    <w:p>
      <w:pPr>
        <w:pStyle w:val="8"/>
        <w:ind w:firstLine="442" w:firstLineChars="200"/>
        <w:rPr>
          <w:b/>
          <w:bCs/>
          <w:sz w:val="22"/>
          <w:szCs w:val="22"/>
        </w:rPr>
      </w:pPr>
      <w:r>
        <w:rPr>
          <w:rFonts w:hint="eastAsia" w:ascii="宋体" w:hAnsi="宋体" w:cs="宋体"/>
          <w:b/>
          <w:bCs/>
          <w:sz w:val="22"/>
          <w:szCs w:val="22"/>
        </w:rPr>
        <w:t>本合同为：</w:t>
      </w:r>
      <w:r>
        <w:rPr>
          <w:rFonts w:hint="eastAsia" w:ascii="宋体" w:hAnsi="宋体" w:cs="宋体"/>
          <w:b/>
          <w:bCs/>
          <w:sz w:val="22"/>
          <w:szCs w:val="22"/>
          <w:u w:val="single"/>
        </w:rPr>
        <w:t>固定单价合同，数量按实结算，单价除合同中约定可调整情况外均不作调整。</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bookmarkStart w:id="390" w:name="_Toc312678042"/>
      <w:bookmarkStart w:id="391" w:name="_Toc303539161"/>
      <w:bookmarkStart w:id="392" w:name="_Toc297123554"/>
      <w:bookmarkStart w:id="393" w:name="_Toc300935004"/>
      <w:bookmarkStart w:id="394" w:name="_Toc304295581"/>
      <w:bookmarkStart w:id="395" w:name="_Toc297216213"/>
      <w:bookmarkStart w:id="396" w:name="_Toc296346708"/>
      <w:bookmarkStart w:id="397" w:name="_Toc296891035"/>
      <w:bookmarkStart w:id="398" w:name="_Toc296944546"/>
      <w:bookmarkStart w:id="399" w:name="_Toc292559412"/>
      <w:bookmarkStart w:id="400" w:name="_Toc297120507"/>
      <w:bookmarkStart w:id="401" w:name="_Toc296347206"/>
      <w:bookmarkStart w:id="402" w:name="_Toc296891247"/>
      <w:bookmarkStart w:id="403" w:name="_Toc292559917"/>
      <w:bookmarkStart w:id="404" w:name="_Toc296503207"/>
      <w:bookmarkStart w:id="405" w:name="_Toc297048393"/>
      <w:r>
        <w:rPr>
          <w:rFonts w:hint="eastAsia" w:asciiTheme="minorEastAsia" w:hAnsiTheme="minorEastAsia" w:eastAsiaTheme="minorEastAsia" w:cstheme="minorEastAsia"/>
          <w:sz w:val="22"/>
          <w:szCs w:val="22"/>
          <w:lang w:val="zh-CN"/>
        </w:rPr>
        <w:t>12.2 预付款</w:t>
      </w:r>
    </w:p>
    <w:bookmarkEnd w:id="390"/>
    <w:bookmarkEnd w:id="391"/>
    <w:bookmarkEnd w:id="392"/>
    <w:bookmarkEnd w:id="393"/>
    <w:bookmarkEnd w:id="394"/>
    <w:bookmarkEnd w:id="395"/>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12.2.1 预付款的支付</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预付款支付比例或金额：</w:t>
      </w:r>
      <w:r>
        <w:rPr>
          <w:rFonts w:hint="eastAsia" w:asciiTheme="minorEastAsia" w:hAnsiTheme="minorEastAsia" w:eastAsiaTheme="minorEastAsia" w:cstheme="minorEastAsia"/>
          <w:sz w:val="22"/>
          <w:szCs w:val="22"/>
          <w:u w:val="single"/>
        </w:rPr>
        <w:t xml:space="preserve">    合同价的30% （其中含全部安全文明措施费）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预付款支付期限：</w:t>
      </w:r>
      <w:r>
        <w:rPr>
          <w:rFonts w:hint="eastAsia" w:asciiTheme="minorEastAsia" w:hAnsiTheme="minorEastAsia" w:eastAsiaTheme="minorEastAsia" w:cstheme="minorEastAsia"/>
          <w:sz w:val="22"/>
          <w:szCs w:val="22"/>
          <w:u w:val="single"/>
        </w:rPr>
        <w:t xml:space="preserve">  签订合同且收到承包方的履约担保或风险担保后一周内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预付款扣回的方式：</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12.2.2 预付款担保</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承包人提交预付款担保的期限：</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预付款担保的形式为：</w:t>
      </w:r>
      <w:r>
        <w:rPr>
          <w:rFonts w:hint="eastAsia" w:asciiTheme="minorEastAsia" w:hAnsiTheme="minorEastAsia" w:eastAsiaTheme="minorEastAsia" w:cstheme="minorEastAsia"/>
          <w:sz w:val="22"/>
          <w:szCs w:val="22"/>
          <w:u w:val="single"/>
        </w:rPr>
        <w:t xml:space="preserve">         银行保函                       </w:t>
      </w:r>
      <w:r>
        <w:rPr>
          <w:rFonts w:hint="eastAsia" w:asciiTheme="minorEastAsia" w:hAnsiTheme="minorEastAsia" w:eastAsiaTheme="minorEastAsia" w:cstheme="minorEastAsia"/>
          <w:sz w:val="22"/>
          <w:szCs w:val="22"/>
        </w:rPr>
        <w:t>。</w:t>
      </w:r>
    </w:p>
    <w:bookmarkEnd w:id="396"/>
    <w:bookmarkEnd w:id="397"/>
    <w:bookmarkEnd w:id="398"/>
    <w:bookmarkEnd w:id="399"/>
    <w:bookmarkEnd w:id="400"/>
    <w:bookmarkEnd w:id="401"/>
    <w:bookmarkEnd w:id="402"/>
    <w:bookmarkEnd w:id="403"/>
    <w:bookmarkEnd w:id="404"/>
    <w:bookmarkEnd w:id="405"/>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12.3 计量</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12.3.1 计量原则</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工程量计算规则：</w:t>
      </w:r>
      <w:r>
        <w:rPr>
          <w:rFonts w:hint="eastAsia" w:asciiTheme="minorEastAsia" w:hAnsiTheme="minorEastAsia" w:eastAsiaTheme="minorEastAsia" w:cstheme="minorEastAsia"/>
          <w:sz w:val="22"/>
          <w:szCs w:val="22"/>
          <w:u w:val="single"/>
        </w:rPr>
        <w:t>《建设工程工程量清单计价规范》</w:t>
      </w:r>
      <w:r>
        <w:rPr>
          <w:rFonts w:hint="eastAsia" w:ascii="宋体" w:hAnsi="宋体" w:cs="宋体"/>
          <w:sz w:val="24"/>
          <w:u w:val="single"/>
        </w:rPr>
        <w:t>（</w:t>
      </w:r>
      <w:r>
        <w:rPr>
          <w:rFonts w:ascii="宋体" w:hAnsi="宋体" w:cs="宋体"/>
          <w:sz w:val="24"/>
          <w:u w:val="single"/>
        </w:rPr>
        <w:t>GB50500-2013</w:t>
      </w:r>
      <w:r>
        <w:rPr>
          <w:rFonts w:hint="eastAsia" w:ascii="宋体" w:hAnsi="宋体" w:cs="宋体"/>
          <w:sz w:val="24"/>
          <w:u w:val="single"/>
        </w:rPr>
        <w:t>）</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12.3.2 计量周期</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关于计量周期的约定：</w:t>
      </w:r>
      <w:r>
        <w:rPr>
          <w:rFonts w:hint="eastAsia" w:asciiTheme="minorEastAsia" w:hAnsiTheme="minorEastAsia" w:eastAsiaTheme="minorEastAsia" w:cstheme="minorEastAsia"/>
          <w:sz w:val="22"/>
          <w:szCs w:val="22"/>
          <w:u w:val="single"/>
        </w:rPr>
        <w:t xml:space="preserve">          按月计量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12.3.3 单价合同的计量</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关于单价合同计量的约定：</w:t>
      </w:r>
      <w:r>
        <w:rPr>
          <w:rFonts w:hint="eastAsia" w:asciiTheme="minorEastAsia" w:hAnsiTheme="minorEastAsia" w:eastAsiaTheme="minorEastAsia" w:cstheme="minorEastAsia"/>
          <w:sz w:val="22"/>
          <w:szCs w:val="22"/>
          <w:u w:val="single"/>
        </w:rPr>
        <w:t xml:space="preserve">      合格工程量计量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12.3.4 总价合同的计量</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关于总价合同计量的约定：</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12.3.5总价合同采用支付分解表计量支付的，是否适用第</w:t>
      </w:r>
      <w:r>
        <w:rPr>
          <w:rFonts w:hint="eastAsia" w:asciiTheme="minorEastAsia" w:hAnsiTheme="minorEastAsia" w:eastAsiaTheme="minorEastAsia" w:cstheme="minorEastAsia"/>
          <w:kern w:val="0"/>
          <w:sz w:val="22"/>
          <w:szCs w:val="22"/>
        </w:rPr>
        <w:t xml:space="preserve">12.3.4 </w:t>
      </w:r>
      <w:r>
        <w:rPr>
          <w:rFonts w:hint="eastAsia" w:asciiTheme="minorEastAsia" w:hAnsiTheme="minorEastAsia" w:eastAsiaTheme="minorEastAsia" w:cstheme="minorEastAsia"/>
          <w:sz w:val="22"/>
          <w:szCs w:val="22"/>
        </w:rPr>
        <w:t>项</w:t>
      </w:r>
      <w:r>
        <w:rPr>
          <w:rFonts w:hint="eastAsia" w:asciiTheme="minorEastAsia" w:hAnsiTheme="minorEastAsia" w:eastAsiaTheme="minorEastAsia" w:cstheme="minorEastAsia"/>
          <w:kern w:val="0"/>
          <w:sz w:val="22"/>
          <w:szCs w:val="22"/>
        </w:rPr>
        <w:t>〔总价合同的计量〕</w:t>
      </w:r>
      <w:r>
        <w:rPr>
          <w:rFonts w:hint="eastAsia" w:asciiTheme="minorEastAsia" w:hAnsiTheme="minorEastAsia" w:eastAsiaTheme="minorEastAsia" w:cstheme="minorEastAsia"/>
          <w:sz w:val="22"/>
          <w:szCs w:val="22"/>
        </w:rPr>
        <w:t>约定进行计量：</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12.3.6 其他价格形式合同的计量</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其他价格形式的计量方式和程序：</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12.4 工程进度款支付</w:t>
      </w:r>
    </w:p>
    <w:p>
      <w:pPr>
        <w:spacing w:line="360" w:lineRule="auto"/>
        <w:ind w:firstLine="480"/>
        <w:jc w:val="left"/>
        <w:rPr>
          <w:rFonts w:asciiTheme="minorEastAsia" w:hAnsiTheme="minorEastAsia" w:eastAsiaTheme="minorEastAsia" w:cstheme="minorEastAsia"/>
          <w:sz w:val="22"/>
          <w:szCs w:val="22"/>
        </w:rPr>
      </w:pPr>
      <w:bookmarkStart w:id="406" w:name="_Toc296503211"/>
      <w:bookmarkStart w:id="407" w:name="_Toc300935006"/>
      <w:bookmarkStart w:id="408" w:name="_Toc297120511"/>
      <w:bookmarkStart w:id="409" w:name="_Toc303539163"/>
      <w:bookmarkStart w:id="410" w:name="_Toc296347210"/>
      <w:bookmarkStart w:id="411" w:name="_Toc296944550"/>
      <w:bookmarkStart w:id="412" w:name="_Toc292559416"/>
      <w:bookmarkStart w:id="413" w:name="_Toc296891039"/>
      <w:bookmarkStart w:id="414" w:name="_Toc292559921"/>
      <w:bookmarkStart w:id="415" w:name="_Toc297048397"/>
      <w:bookmarkStart w:id="416" w:name="_Toc297123556"/>
      <w:bookmarkStart w:id="417" w:name="_Toc297216215"/>
      <w:bookmarkStart w:id="418" w:name="_Toc296891251"/>
      <w:bookmarkStart w:id="419" w:name="_Toc296346712"/>
      <w:r>
        <w:rPr>
          <w:rFonts w:hint="eastAsia" w:asciiTheme="minorEastAsia" w:hAnsiTheme="minorEastAsia" w:eastAsiaTheme="minorEastAsia" w:cstheme="minorEastAsia"/>
          <w:sz w:val="22"/>
          <w:szCs w:val="22"/>
        </w:rPr>
        <w:t>12.4.1 付款周期</w:t>
      </w:r>
    </w:p>
    <w:p>
      <w:pPr>
        <w:spacing w:line="360" w:lineRule="auto"/>
        <w:ind w:firstLine="480"/>
        <w:jc w:val="left"/>
        <w:rPr>
          <w:rFonts w:asciiTheme="minorEastAsia" w:hAnsiTheme="minorEastAsia" w:eastAsiaTheme="minorEastAsia" w:cstheme="minorEastAsia"/>
          <w:b/>
          <w:bCs/>
          <w:sz w:val="22"/>
          <w:szCs w:val="22"/>
        </w:rPr>
      </w:pPr>
      <w:r>
        <w:rPr>
          <w:rFonts w:hint="eastAsia" w:asciiTheme="minorEastAsia" w:hAnsiTheme="minorEastAsia" w:eastAsiaTheme="minorEastAsia"/>
          <w:b/>
          <w:bCs/>
          <w:sz w:val="22"/>
          <w:szCs w:val="22"/>
        </w:rPr>
        <w:t>关于付款周期的约定：</w:t>
      </w:r>
      <w:r>
        <w:rPr>
          <w:rFonts w:hint="eastAsia" w:asciiTheme="minorEastAsia" w:hAnsiTheme="minorEastAsia" w:eastAsiaTheme="minorEastAsia"/>
          <w:b/>
          <w:bCs/>
          <w:sz w:val="22"/>
          <w:szCs w:val="22"/>
          <w:u w:val="single"/>
        </w:rPr>
        <w:t>合同签订后7日内支付预付款为暂定合同总价的30%；工程全部完工后支付进度款为暂定合同总价的30%；竣工验收后支付至暂定合同总价80%；审价完成后支付至审定结算价97%。剩余3%为工程质量保修金，待保修期满两年后无息返还（若无扣款）。 付款时需提供相应金额的增值税专用发票，同时根据国家相关规定，优先落实农民工工资支付，相关手续按文件要求办理</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12.4.2 进度付款申请单的编制</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关于进度付款申请单编制的约定：</w:t>
      </w:r>
      <w:r>
        <w:rPr>
          <w:rFonts w:hint="eastAsia" w:asciiTheme="minorEastAsia" w:hAnsiTheme="minorEastAsia" w:eastAsiaTheme="minorEastAsia" w:cstheme="minorEastAsia"/>
          <w:sz w:val="22"/>
          <w:szCs w:val="22"/>
          <w:u w:val="single"/>
        </w:rPr>
        <w:t xml:space="preserve">     按工程量清单格式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Fonts w:hint="eastAsia" w:asciiTheme="minorEastAsia" w:hAnsiTheme="minorEastAsia" w:eastAsiaTheme="minorEastAsia" w:cstheme="minorEastAsia"/>
          <w:sz w:val="22"/>
          <w:szCs w:val="22"/>
        </w:rPr>
        <w:t>2.4.3 进度付款申请单的提交</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（1）单价合同进度付款申请单提交的约定：</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（2）总价合同进度付款申请单提交的约定：</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（3）其他价格形式合同进度付款申请单提交的约定：</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12.4.4 进度款审核和支付</w:t>
      </w:r>
    </w:p>
    <w:p>
      <w:pPr>
        <w:spacing w:line="360" w:lineRule="auto"/>
        <w:ind w:firstLine="480"/>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（1）监理人审查并报送发包人的期限：</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发包人完成审批并签发进度款支付证书的期限：</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（2）发包人支付进度款的期限：</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发包人逾期支付进度款的违约金的计算方式：</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550" w:firstLineChars="25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12.4.6 支付分解表的编制</w:t>
      </w:r>
    </w:p>
    <w:p>
      <w:pPr>
        <w:spacing w:line="360" w:lineRule="auto"/>
        <w:ind w:left="4400" w:hanging="4400" w:hangingChars="200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2、总价合同支付分解表的编制与审批：</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3、单价合同的总价项目支付分解表的编制与审批：</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bookmarkEnd w:id="249"/>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420" w:name="_Toc351203645"/>
      <w:bookmarkStart w:id="421" w:name="_Toc296891047"/>
      <w:bookmarkStart w:id="422" w:name="_Toc300935015"/>
      <w:bookmarkStart w:id="423" w:name="_Toc296346720"/>
      <w:bookmarkStart w:id="424" w:name="_Toc303539172"/>
      <w:bookmarkStart w:id="425" w:name="_Toc297216223"/>
      <w:bookmarkStart w:id="426" w:name="_Toc304295593"/>
      <w:bookmarkStart w:id="427" w:name="_Toc292559929"/>
      <w:bookmarkStart w:id="428" w:name="_Toc297123564"/>
      <w:bookmarkStart w:id="429" w:name="_Toc297120519"/>
      <w:bookmarkStart w:id="430" w:name="_Toc296347218"/>
      <w:bookmarkStart w:id="431" w:name="_Toc297048405"/>
      <w:bookmarkStart w:id="432" w:name="_Toc296944558"/>
      <w:bookmarkStart w:id="433" w:name="_Toc296503219"/>
      <w:bookmarkStart w:id="434" w:name="_Toc312678053"/>
      <w:bookmarkStart w:id="435" w:name="_Toc296891259"/>
      <w:bookmarkStart w:id="436" w:name="_Toc292559424"/>
      <w:r>
        <w:rPr>
          <w:rFonts w:hint="eastAsia" w:asciiTheme="minorEastAsia" w:hAnsiTheme="minorEastAsia" w:eastAsiaTheme="minorEastAsia" w:cstheme="minorEastAsia"/>
          <w:sz w:val="22"/>
          <w:szCs w:val="22"/>
          <w:lang w:val="zh-CN"/>
        </w:rPr>
        <w:t>13. 验收和工程试车</w:t>
      </w:r>
      <w:bookmarkEnd w:id="420"/>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13.1 分部分项工程验收</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13.1.2监理人不能按时进行验收时，应提前</w:t>
      </w:r>
      <w:r>
        <w:rPr>
          <w:rFonts w:hint="eastAsia" w:asciiTheme="minorEastAsia" w:hAnsiTheme="minorEastAsia" w:eastAsiaTheme="minorEastAsia" w:cstheme="minorEastAsia"/>
          <w:sz w:val="22"/>
          <w:szCs w:val="22"/>
          <w:u w:val="single"/>
        </w:rPr>
        <w:t xml:space="preserve">   24  </w:t>
      </w:r>
      <w:r>
        <w:rPr>
          <w:rFonts w:hint="eastAsia" w:asciiTheme="minorEastAsia" w:hAnsiTheme="minorEastAsia" w:eastAsiaTheme="minorEastAsia" w:cstheme="minorEastAsia"/>
          <w:sz w:val="22"/>
          <w:szCs w:val="22"/>
        </w:rPr>
        <w:t>小时提交书面延期要求。</w:t>
      </w:r>
    </w:p>
    <w:p>
      <w:pPr>
        <w:spacing w:line="360" w:lineRule="auto"/>
        <w:ind w:firstLine="480"/>
        <w:jc w:val="left"/>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sz w:val="22"/>
          <w:szCs w:val="22"/>
        </w:rPr>
        <w:t>关于延期最长不得超过：</w:t>
      </w:r>
      <w:r>
        <w:rPr>
          <w:rFonts w:hint="eastAsia" w:asciiTheme="minorEastAsia" w:hAnsiTheme="minorEastAsia" w:eastAsiaTheme="minorEastAsia" w:cstheme="minorEastAsia"/>
          <w:sz w:val="22"/>
          <w:szCs w:val="22"/>
          <w:u w:val="single"/>
        </w:rPr>
        <w:t xml:space="preserve">    48    </w:t>
      </w:r>
      <w:r>
        <w:rPr>
          <w:rFonts w:hint="eastAsia" w:asciiTheme="minorEastAsia" w:hAnsiTheme="minorEastAsia" w:eastAsiaTheme="minorEastAsia" w:cstheme="minorEastAsia"/>
          <w:sz w:val="22"/>
          <w:szCs w:val="22"/>
        </w:rPr>
        <w:t>小时。</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bookmarkStart w:id="437" w:name="_Toc304295596"/>
      <w:bookmarkStart w:id="438" w:name="_Toc296891051"/>
      <w:bookmarkStart w:id="439" w:name="_Toc312678056"/>
      <w:bookmarkStart w:id="440" w:name="_Toc296346724"/>
      <w:bookmarkStart w:id="441" w:name="_Toc296944562"/>
      <w:bookmarkStart w:id="442" w:name="_Toc296503223"/>
      <w:bookmarkStart w:id="443" w:name="_Toc297048409"/>
      <w:bookmarkStart w:id="444" w:name="_Toc292559428"/>
      <w:bookmarkStart w:id="445" w:name="_Toc297123565"/>
      <w:bookmarkStart w:id="446" w:name="_Toc303539173"/>
      <w:bookmarkStart w:id="447" w:name="_Toc297120523"/>
      <w:bookmarkStart w:id="448" w:name="_Toc300935016"/>
      <w:bookmarkStart w:id="449" w:name="_Toc296891263"/>
      <w:bookmarkStart w:id="450" w:name="_Toc296347222"/>
      <w:bookmarkStart w:id="451" w:name="_Toc297216224"/>
      <w:bookmarkStart w:id="452" w:name="_Toc292559933"/>
      <w:bookmarkStart w:id="453" w:name="_Toc267251474"/>
      <w:bookmarkStart w:id="454" w:name="_Toc267251470"/>
      <w:bookmarkStart w:id="455" w:name="_Toc267251471"/>
      <w:bookmarkStart w:id="456" w:name="_Toc267251473"/>
      <w:bookmarkStart w:id="457" w:name="_Toc267251476"/>
      <w:bookmarkStart w:id="458" w:name="_Toc267251472"/>
      <w:bookmarkStart w:id="459" w:name="_Toc267251475"/>
      <w:r>
        <w:rPr>
          <w:rFonts w:hint="eastAsia" w:asciiTheme="minorEastAsia" w:hAnsiTheme="minorEastAsia" w:eastAsiaTheme="minorEastAsia" w:cstheme="minorEastAsia"/>
          <w:sz w:val="22"/>
          <w:szCs w:val="22"/>
          <w:lang w:val="zh-CN"/>
        </w:rPr>
        <w:t>13.2 竣工验收</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Pr>
        <w:spacing w:line="360" w:lineRule="auto"/>
        <w:ind w:firstLine="480"/>
        <w:jc w:val="left"/>
        <w:rPr>
          <w:rFonts w:asciiTheme="minorEastAsia" w:hAnsiTheme="minorEastAsia" w:eastAsiaTheme="minorEastAsia" w:cstheme="minorEastAsia"/>
          <w:sz w:val="22"/>
          <w:szCs w:val="22"/>
        </w:rPr>
      </w:pPr>
      <w:bookmarkStart w:id="460" w:name="_Toc280868704"/>
      <w:bookmarkStart w:id="461" w:name="_Toc280868705"/>
      <w:bookmarkStart w:id="462" w:name="_Toc280868706"/>
      <w:bookmarkStart w:id="463" w:name="_Toc280868707"/>
      <w:bookmarkStart w:id="464" w:name="_Toc280868708"/>
      <w:bookmarkStart w:id="465" w:name="_Toc280868709"/>
      <w:r>
        <w:rPr>
          <w:rFonts w:hint="eastAsia" w:asciiTheme="minorEastAsia" w:hAnsiTheme="minorEastAsia" w:eastAsiaTheme="minorEastAsia" w:cstheme="minorEastAsia"/>
          <w:sz w:val="22"/>
          <w:szCs w:val="22"/>
        </w:rPr>
        <w:t>13.2.2竣工验收程序</w:t>
      </w:r>
    </w:p>
    <w:bookmarkEnd w:id="460"/>
    <w:p>
      <w:pPr>
        <w:spacing w:line="360" w:lineRule="auto"/>
        <w:ind w:left="4400" w:hanging="4400" w:hangingChars="200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关于竣工验收程序的约定：</w:t>
      </w:r>
      <w:r>
        <w:rPr>
          <w:rFonts w:hint="eastAsia" w:asciiTheme="minorEastAsia" w:hAnsiTheme="minorEastAsia" w:eastAsiaTheme="minorEastAsia" w:cstheme="minorEastAsia"/>
          <w:sz w:val="22"/>
          <w:szCs w:val="22"/>
          <w:u w:val="single"/>
        </w:rPr>
        <w:t xml:space="preserve">      符合建筑行业管理要求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发包人不按照本项约定组织竣工验收、颁发工程接收证书的违约金的计算方法：</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bookmarkEnd w:id="461"/>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13.2.5移交、接收全部与部分工程</w:t>
      </w:r>
    </w:p>
    <w:bookmarkEnd w:id="462"/>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承包人向发包人移交工程的期限：</w:t>
      </w:r>
      <w:r>
        <w:rPr>
          <w:rFonts w:hint="eastAsia" w:asciiTheme="minorEastAsia" w:hAnsiTheme="minorEastAsia" w:eastAsiaTheme="minorEastAsia" w:cstheme="minorEastAsia"/>
          <w:sz w:val="22"/>
          <w:szCs w:val="22"/>
          <w:u w:val="single"/>
        </w:rPr>
        <w:t xml:space="preserve">    颁发工程接收证书后7天内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kern w:val="0"/>
          <w:sz w:val="22"/>
          <w:szCs w:val="22"/>
        </w:rPr>
        <w:t>发包人未按本合同约定接收全部或部分工程的，违约金的计算方法为：</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bookmarkEnd w:id="463"/>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承包人未按时移交工程的，违约金的计算方法为：</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13.3 工程试车</w:t>
      </w:r>
    </w:p>
    <w:bookmarkEnd w:id="464"/>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13.3.1 试车程序</w:t>
      </w:r>
    </w:p>
    <w:p>
      <w:pPr>
        <w:spacing w:line="360" w:lineRule="auto"/>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工程试车内容：</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（1）单机无负荷试车费用由</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kern w:val="0"/>
          <w:sz w:val="22"/>
          <w:szCs w:val="22"/>
        </w:rPr>
        <w:t>承担；</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（2）无负荷联动试车费用由</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kern w:val="0"/>
          <w:sz w:val="22"/>
          <w:szCs w:val="22"/>
        </w:rPr>
        <w:t>承担。</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13.3.3 投料试车</w:t>
      </w:r>
    </w:p>
    <w:p>
      <w:pPr>
        <w:spacing w:line="360" w:lineRule="auto"/>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关于投料试车相关事项的约定：</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13.6 竣工退场</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13.6.1 竣工退场</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承包人完成竣工退场的期限：</w:t>
      </w:r>
      <w:r>
        <w:rPr>
          <w:rFonts w:hint="eastAsia" w:asciiTheme="minorEastAsia" w:hAnsiTheme="minorEastAsia" w:eastAsiaTheme="minorEastAsia" w:cstheme="minorEastAsia"/>
          <w:sz w:val="22"/>
          <w:szCs w:val="22"/>
          <w:u w:val="single"/>
        </w:rPr>
        <w:t xml:space="preserve">      颁发工程接收证书后7天内      </w:t>
      </w:r>
      <w:r>
        <w:rPr>
          <w:rFonts w:hint="eastAsia" w:asciiTheme="minorEastAsia" w:hAnsiTheme="minorEastAsia" w:eastAsiaTheme="minorEastAsia" w:cstheme="minorEastAsia"/>
          <w:kern w:val="0"/>
          <w:sz w:val="22"/>
          <w:szCs w:val="22"/>
        </w:rPr>
        <w:t>。</w:t>
      </w:r>
    </w:p>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466" w:name="_Toc351203646"/>
      <w:r>
        <w:rPr>
          <w:rFonts w:hint="eastAsia" w:asciiTheme="minorEastAsia" w:hAnsiTheme="minorEastAsia" w:eastAsiaTheme="minorEastAsia" w:cstheme="minorEastAsia"/>
          <w:sz w:val="22"/>
          <w:szCs w:val="22"/>
          <w:lang w:val="zh-CN"/>
        </w:rPr>
        <w:t>14. 竣工结算</w:t>
      </w:r>
      <w:bookmarkEnd w:id="466"/>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14.1 竣工结算申请</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承包人提交竣工结算申请单的期限：</w:t>
      </w:r>
      <w:r>
        <w:rPr>
          <w:rFonts w:hint="eastAsia" w:asciiTheme="minorEastAsia" w:hAnsiTheme="minorEastAsia" w:eastAsiaTheme="minorEastAsia" w:cstheme="minorEastAsia"/>
          <w:sz w:val="22"/>
          <w:szCs w:val="22"/>
          <w:u w:val="single"/>
        </w:rPr>
        <w:t xml:space="preserve">  工程竣工验收合格后60天内提供完整的符合建设工程档案管理要求的竣工资料及结算资料给发包人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竣工结算申请单应包括的内容：</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14.2 竣工结算审核</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发包人审批竣工付款申请单的期限：</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发包人完成竣工付款的期限：</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关于竣工付款证书异议部分复核的方式和程序：</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结算原则：社保费按相关文件执行，措施费包干使用（除模板和脚手架），综合单位闭口包干。新增单价按上海市建筑和装饰预算定额（SH01-31-2016）等相关定额消耗量及投标报价费率进行组价。</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14.4 最终结清</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14.4.1 最终结清申请单</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承包人提交最终结清申请单的份数：</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承包人提交最终结算申请单的期限：</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 xml:space="preserve">。 </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14.4.2 最终结清证书和支付</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（1）发包人完成最终结清申请单的审批并颁发最终结清证书的期限：</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（2）发包人完成支付的期限：</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bookmarkEnd w:id="453"/>
    <w:bookmarkEnd w:id="454"/>
    <w:bookmarkEnd w:id="455"/>
    <w:bookmarkEnd w:id="456"/>
    <w:bookmarkEnd w:id="457"/>
    <w:bookmarkEnd w:id="458"/>
    <w:bookmarkEnd w:id="459"/>
    <w:bookmarkEnd w:id="465"/>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467" w:name="_Toc351203647"/>
      <w:bookmarkStart w:id="468" w:name="_Toc267251483"/>
      <w:bookmarkStart w:id="469" w:name="_Toc267251482"/>
      <w:bookmarkStart w:id="470" w:name="_Toc267251484"/>
      <w:bookmarkStart w:id="471" w:name="_Toc267251485"/>
      <w:bookmarkStart w:id="472" w:name="_Toc267251486"/>
      <w:bookmarkStart w:id="473" w:name="_Toc267251489"/>
      <w:bookmarkStart w:id="474" w:name="_Toc267251490"/>
      <w:bookmarkStart w:id="475" w:name="_Toc267251488"/>
      <w:bookmarkStart w:id="476" w:name="_Toc267251496"/>
      <w:bookmarkStart w:id="477" w:name="_Toc267251492"/>
      <w:bookmarkStart w:id="478" w:name="_Toc267251494"/>
      <w:bookmarkStart w:id="479" w:name="_Toc267251491"/>
      <w:bookmarkStart w:id="480" w:name="_Toc267251498"/>
      <w:bookmarkStart w:id="481" w:name="_Toc267251499"/>
      <w:bookmarkStart w:id="482" w:name="_Toc267251495"/>
      <w:bookmarkStart w:id="483" w:name="_Toc267251503"/>
      <w:bookmarkStart w:id="484" w:name="_Toc267251497"/>
      <w:bookmarkStart w:id="485" w:name="_Toc267251501"/>
      <w:bookmarkStart w:id="486" w:name="_Toc267251502"/>
      <w:bookmarkStart w:id="487" w:name="_Toc267251493"/>
      <w:bookmarkStart w:id="488" w:name="_Toc267251504"/>
      <w:bookmarkStart w:id="489" w:name="_Toc267251506"/>
      <w:bookmarkStart w:id="490" w:name="_Toc267251507"/>
      <w:bookmarkStart w:id="491" w:name="_Toc267251508"/>
      <w:bookmarkStart w:id="492" w:name="_Toc267251510"/>
      <w:bookmarkStart w:id="493" w:name="_Toc267251514"/>
      <w:bookmarkStart w:id="494" w:name="_Toc267251509"/>
      <w:bookmarkStart w:id="495" w:name="_Toc267251513"/>
      <w:bookmarkStart w:id="496" w:name="_Toc267251515"/>
      <w:bookmarkStart w:id="497" w:name="_Toc267251511"/>
      <w:r>
        <w:rPr>
          <w:rFonts w:hint="eastAsia" w:asciiTheme="minorEastAsia" w:hAnsiTheme="minorEastAsia" w:eastAsiaTheme="minorEastAsia" w:cstheme="minorEastAsia"/>
          <w:sz w:val="22"/>
          <w:szCs w:val="22"/>
          <w:lang w:val="zh-CN"/>
        </w:rPr>
        <w:t>15. 缺陷责任期与保修</w:t>
      </w:r>
      <w:bookmarkEnd w:id="467"/>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15.2缺陷责任期</w:t>
      </w:r>
      <w:bookmarkEnd w:id="468"/>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缺陷责任期的具体期限：</w:t>
      </w:r>
      <w:r>
        <w:rPr>
          <w:rFonts w:hint="eastAsia" w:asciiTheme="minorEastAsia" w:hAnsiTheme="minorEastAsia" w:eastAsiaTheme="minorEastAsia" w:cstheme="minorEastAsia"/>
          <w:sz w:val="22"/>
          <w:szCs w:val="22"/>
          <w:u w:val="single"/>
        </w:rPr>
        <w:t xml:space="preserve">   24个月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15.3 质量保证金</w:t>
      </w:r>
    </w:p>
    <w:p>
      <w:pPr>
        <w:spacing w:line="360" w:lineRule="auto"/>
        <w:ind w:firstLine="48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sz w:val="22"/>
          <w:szCs w:val="22"/>
        </w:rPr>
        <w:t>关于是否扣留质量保证金的约定：</w:t>
      </w:r>
      <w:r>
        <w:rPr>
          <w:rFonts w:hint="eastAsia" w:asciiTheme="minorEastAsia" w:hAnsiTheme="minorEastAsia" w:eastAsiaTheme="minorEastAsia" w:cstheme="minorEastAsia"/>
          <w:sz w:val="22"/>
          <w:szCs w:val="22"/>
          <w:u w:val="single"/>
        </w:rPr>
        <w:t xml:space="preserve">    是              </w:t>
      </w:r>
      <w:r>
        <w:rPr>
          <w:rFonts w:hint="eastAsia" w:asciiTheme="minorEastAsia" w:hAnsiTheme="minorEastAsia" w:eastAsiaTheme="minorEastAsia" w:cstheme="minorEastAsia"/>
          <w:sz w:val="22"/>
          <w:szCs w:val="22"/>
        </w:rPr>
        <w:t>。在工程项目竣工前，承包人按专用合同条款第3.7条提供履约担保的，发包人不得同时预留工程质量保证金。</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15.3.1 承包人提供质量保证金的方式</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质量保证金采用以下第</w:t>
      </w:r>
      <w:r>
        <w:rPr>
          <w:rFonts w:hint="eastAsia" w:asciiTheme="minorEastAsia" w:hAnsiTheme="minorEastAsia" w:eastAsiaTheme="minorEastAsia" w:cstheme="minorEastAsia"/>
          <w:sz w:val="22"/>
          <w:szCs w:val="22"/>
          <w:u w:val="single"/>
        </w:rPr>
        <w:t xml:space="preserve">  （2）   </w:t>
      </w:r>
      <w:r>
        <w:rPr>
          <w:rFonts w:hint="eastAsia" w:asciiTheme="minorEastAsia" w:hAnsiTheme="minorEastAsia" w:eastAsiaTheme="minorEastAsia" w:cstheme="minorEastAsia"/>
          <w:sz w:val="22"/>
          <w:szCs w:val="22"/>
        </w:rPr>
        <w:t>种方式：</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（1）质量保证金保函，保证金额为：</w:t>
      </w:r>
      <w:r>
        <w:rPr>
          <w:rFonts w:hint="eastAsia" w:asciiTheme="minorEastAsia" w:hAnsiTheme="minorEastAsia" w:eastAsiaTheme="minorEastAsia" w:cstheme="minorEastAsia"/>
          <w:kern w:val="0"/>
          <w:sz w:val="22"/>
          <w:szCs w:val="22"/>
          <w:u w:val="single"/>
        </w:rPr>
        <w:t xml:space="preserve">                   </w:t>
      </w:r>
      <w:r>
        <w:rPr>
          <w:rFonts w:hint="eastAsia" w:asciiTheme="minorEastAsia" w:hAnsiTheme="minorEastAsia" w:eastAsiaTheme="minorEastAsia" w:cstheme="minorEastAsia"/>
          <w:kern w:val="0"/>
          <w:sz w:val="22"/>
          <w:szCs w:val="22"/>
        </w:rPr>
        <w:t xml:space="preserve">； </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w:t>
      </w:r>
      <w:r>
        <w:rPr>
          <w:rFonts w:hint="eastAsia" w:asciiTheme="minorEastAsia" w:hAnsiTheme="minorEastAsia" w:eastAsiaTheme="minorEastAsia" w:cstheme="minorEastAsia"/>
          <w:kern w:val="0"/>
          <w:sz w:val="22"/>
          <w:szCs w:val="22"/>
          <w:u w:val="single"/>
        </w:rPr>
        <w:t xml:space="preserve"> 3  </w:t>
      </w:r>
      <w:r>
        <w:rPr>
          <w:rFonts w:hint="eastAsia" w:asciiTheme="minorEastAsia" w:hAnsiTheme="minorEastAsia" w:eastAsiaTheme="minorEastAsia" w:cstheme="minorEastAsia"/>
          <w:kern w:val="0"/>
          <w:sz w:val="22"/>
          <w:szCs w:val="22"/>
        </w:rPr>
        <w:t>%的工程款；</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（3）其他方式:</w:t>
      </w:r>
      <w:r>
        <w:rPr>
          <w:rFonts w:hint="eastAsia" w:asciiTheme="minorEastAsia" w:hAnsiTheme="minorEastAsia" w:eastAsiaTheme="minorEastAsia" w:cstheme="minorEastAsia"/>
          <w:kern w:val="0"/>
          <w:sz w:val="22"/>
          <w:szCs w:val="22"/>
          <w:u w:val="single"/>
        </w:rPr>
        <w:t xml:space="preserve">                                       </w:t>
      </w:r>
      <w:r>
        <w:rPr>
          <w:rFonts w:hint="eastAsia" w:asciiTheme="minorEastAsia" w:hAnsiTheme="minorEastAsia" w:eastAsiaTheme="minorEastAsia" w:cstheme="minorEastAsia"/>
          <w:kern w:val="0"/>
          <w:sz w:val="22"/>
          <w:szCs w:val="22"/>
        </w:rPr>
        <w:t>。</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15.3.2 质量保证金的扣留 </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质量保证金的扣留采取以下第</w:t>
      </w:r>
      <w:r>
        <w:rPr>
          <w:rFonts w:hint="eastAsia" w:asciiTheme="minorEastAsia" w:hAnsiTheme="minorEastAsia" w:eastAsiaTheme="minorEastAsia" w:cstheme="minorEastAsia"/>
          <w:sz w:val="22"/>
          <w:szCs w:val="22"/>
          <w:u w:val="single"/>
        </w:rPr>
        <w:t xml:space="preserve">  （2）   </w:t>
      </w:r>
      <w:r>
        <w:rPr>
          <w:rFonts w:hint="eastAsia" w:asciiTheme="minorEastAsia" w:hAnsiTheme="minorEastAsia" w:eastAsiaTheme="minorEastAsia" w:cstheme="minorEastAsia"/>
          <w:sz w:val="22"/>
          <w:szCs w:val="22"/>
        </w:rPr>
        <w:t>种方式：</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（2）工程竣工结算时一次性扣留质量保证金；</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（3）其他扣留方式:</w:t>
      </w:r>
      <w:r>
        <w:rPr>
          <w:rFonts w:hint="eastAsia" w:asciiTheme="minorEastAsia" w:hAnsiTheme="minorEastAsia" w:eastAsiaTheme="minorEastAsia" w:cstheme="minorEastAsia"/>
          <w:kern w:val="0"/>
          <w:sz w:val="22"/>
          <w:szCs w:val="22"/>
          <w:u w:val="single"/>
        </w:rPr>
        <w:t xml:space="preserve">                                     </w:t>
      </w:r>
      <w:r>
        <w:rPr>
          <w:rFonts w:hint="eastAsia" w:asciiTheme="minorEastAsia" w:hAnsiTheme="minorEastAsia" w:eastAsiaTheme="minorEastAsia" w:cstheme="minorEastAsia"/>
          <w:kern w:val="0"/>
          <w:sz w:val="22"/>
          <w:szCs w:val="22"/>
        </w:rPr>
        <w:t>。</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关于质量保证金的补充约定：</w:t>
      </w:r>
      <w:r>
        <w:rPr>
          <w:rFonts w:hint="eastAsia" w:asciiTheme="minorEastAsia" w:hAnsiTheme="minorEastAsia" w:eastAsiaTheme="minorEastAsia" w:cstheme="minorEastAsia"/>
          <w:kern w:val="0"/>
          <w:sz w:val="22"/>
          <w:szCs w:val="22"/>
          <w:u w:val="single"/>
        </w:rPr>
        <w:t xml:space="preserve">    质量保证金退还不计利息           </w:t>
      </w:r>
      <w:r>
        <w:rPr>
          <w:rFonts w:hint="eastAsia" w:asciiTheme="minorEastAsia" w:hAnsiTheme="minorEastAsia" w:eastAsiaTheme="minorEastAsia" w:cstheme="minorEastAsia"/>
          <w:kern w:val="0"/>
          <w:sz w:val="22"/>
          <w:szCs w:val="22"/>
        </w:rPr>
        <w:t>。</w:t>
      </w:r>
    </w:p>
    <w:bookmarkEnd w:id="469"/>
    <w:bookmarkEnd w:id="470"/>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15.4保修</w:t>
      </w:r>
    </w:p>
    <w:bookmarkEnd w:id="471"/>
    <w:p>
      <w:pPr>
        <w:spacing w:line="360" w:lineRule="auto"/>
        <w:ind w:firstLine="429" w:firstLineChars="195"/>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15.4.1 保修责任</w:t>
      </w:r>
    </w:p>
    <w:p>
      <w:pPr>
        <w:spacing w:line="360" w:lineRule="auto"/>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sz w:val="22"/>
          <w:szCs w:val="22"/>
        </w:rPr>
        <w:t>工程保修期为：</w:t>
      </w:r>
      <w:r>
        <w:rPr>
          <w:rFonts w:hint="eastAsia" w:asciiTheme="minorEastAsia" w:hAnsiTheme="minorEastAsia" w:eastAsiaTheme="minorEastAsia" w:cstheme="minorEastAsia"/>
          <w:kern w:val="0"/>
          <w:sz w:val="22"/>
          <w:szCs w:val="22"/>
          <w:u w:val="single"/>
        </w:rPr>
        <w:t xml:space="preserve">     详见工程质量保修书               </w:t>
      </w:r>
      <w:r>
        <w:rPr>
          <w:rFonts w:hint="eastAsia" w:asciiTheme="minorEastAsia" w:hAnsiTheme="minorEastAsia" w:eastAsiaTheme="minorEastAsia" w:cstheme="minorEastAsia"/>
          <w:kern w:val="0"/>
          <w:sz w:val="22"/>
          <w:szCs w:val="22"/>
        </w:rPr>
        <w:t>。</w:t>
      </w:r>
    </w:p>
    <w:p>
      <w:pPr>
        <w:spacing w:line="360" w:lineRule="auto"/>
        <w:ind w:firstLine="429" w:firstLineChars="195"/>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15.4.3 修复通知</w:t>
      </w:r>
    </w:p>
    <w:p>
      <w:pPr>
        <w:spacing w:line="360" w:lineRule="auto"/>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承包人收到保修通知并到达工程现场的合理时间：</w:t>
      </w:r>
      <w:r>
        <w:rPr>
          <w:rFonts w:hint="eastAsia" w:asciiTheme="minorEastAsia" w:hAnsiTheme="minorEastAsia" w:eastAsiaTheme="minorEastAsia" w:cstheme="minorEastAsia"/>
          <w:kern w:val="0"/>
          <w:sz w:val="22"/>
          <w:szCs w:val="22"/>
          <w:u w:val="single"/>
        </w:rPr>
        <w:t xml:space="preserve"> 1天      </w:t>
      </w:r>
      <w:r>
        <w:rPr>
          <w:rFonts w:hint="eastAsia" w:asciiTheme="minorEastAsia" w:hAnsiTheme="minorEastAsia" w:eastAsiaTheme="minorEastAsia" w:cstheme="minorEastAsia"/>
          <w:kern w:val="0"/>
          <w:sz w:val="22"/>
          <w:szCs w:val="22"/>
        </w:rPr>
        <w:t>。</w:t>
      </w:r>
    </w:p>
    <w:bookmarkEnd w:id="472"/>
    <w:bookmarkEnd w:id="473"/>
    <w:bookmarkEnd w:id="474"/>
    <w:bookmarkEnd w:id="475"/>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498" w:name="_Toc351203648"/>
      <w:bookmarkStart w:id="499" w:name="_Toc280868717"/>
      <w:bookmarkStart w:id="500" w:name="_Toc280868718"/>
      <w:r>
        <w:rPr>
          <w:rFonts w:hint="eastAsia" w:asciiTheme="minorEastAsia" w:hAnsiTheme="minorEastAsia" w:eastAsiaTheme="minorEastAsia" w:cstheme="minorEastAsia"/>
          <w:sz w:val="22"/>
          <w:szCs w:val="22"/>
          <w:lang w:val="zh-CN"/>
        </w:rPr>
        <w:t>16. 违约</w:t>
      </w:r>
      <w:bookmarkEnd w:id="498"/>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16.1 发包人违约</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16.1.1发包人违约的情形</w:t>
      </w:r>
    </w:p>
    <w:p>
      <w:pPr>
        <w:spacing w:line="360" w:lineRule="auto"/>
        <w:ind w:left="1100" w:hanging="1100" w:hangingChars="50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发包人违约的其他情形：</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ind w:left="1100" w:hanging="1100" w:hangingChars="50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    16.1.2 发包人违约的责任</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发包人违约责任的承担方式和计算方法：</w:t>
      </w:r>
    </w:p>
    <w:p>
      <w:pPr>
        <w:spacing w:line="360" w:lineRule="auto"/>
        <w:ind w:firstLine="480"/>
        <w:jc w:val="left"/>
        <w:rPr>
          <w:rFonts w:asciiTheme="minorEastAsia" w:hAnsiTheme="minorEastAsia" w:eastAsiaTheme="minorEastAsia" w:cstheme="minorEastAsia"/>
          <w:kern w:val="0"/>
          <w:sz w:val="22"/>
          <w:szCs w:val="22"/>
          <w:u w:val="single"/>
        </w:rPr>
      </w:pPr>
      <w:r>
        <w:rPr>
          <w:rFonts w:hint="eastAsia" w:asciiTheme="minorEastAsia" w:hAnsiTheme="minorEastAsia" w:eastAsiaTheme="minorEastAsia" w:cstheme="minorEastAsia"/>
          <w:kern w:val="0"/>
          <w:sz w:val="22"/>
          <w:szCs w:val="22"/>
        </w:rPr>
        <w:t>（1）因发包人原因未能在计划开工日期前7天内下达开工通知的违约责任：</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（2）因发包人原因未能按合同约定支付合同价款的违约责任：</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（3）发包人违反第10.1款〔变更的范围〕第（2）项约定，自行实施被取消的工作或转由他人实施的违约责任：</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（4）发包人提供的材料、工程设备的规格、数量或质量不符合合同约定，或因发包人原因导致交货日期延误或交货地点变更等情况的违约责任：</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（5）因发包人违反合同约定造成暂停施工的违约责任：</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（6）发包人无正当理由没有在约定期限内发出复工指示，导致承包人无法复工的违约责任：</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（7）其他：</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16.1.3 因发包人违约解除合同</w:t>
      </w:r>
    </w:p>
    <w:p>
      <w:pPr>
        <w:autoSpaceDE w:val="0"/>
        <w:autoSpaceDN w:val="0"/>
        <w:adjustRightInd w:val="0"/>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承包人按16.1.1项〔发包人违约的情形〕约定暂停施工满</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天后发包人仍不纠正其违约行为并致使合同目的不能实现的，承包人有权解除合同。</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16.2 承包人违约</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16.2.1 承包人违约的情形</w:t>
      </w:r>
    </w:p>
    <w:p>
      <w:pPr>
        <w:spacing w:line="360" w:lineRule="auto"/>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承包人违约的其他情形：</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16.2.2承包人违约的责任</w:t>
      </w:r>
    </w:p>
    <w:p>
      <w:pPr>
        <w:spacing w:line="360" w:lineRule="auto"/>
        <w:ind w:left="1100" w:hanging="1100" w:hangingChars="500"/>
        <w:jc w:val="left"/>
        <w:rPr>
          <w:rFonts w:asciiTheme="minorEastAsia" w:hAnsiTheme="minorEastAsia" w:eastAsiaTheme="minorEastAsia" w:cstheme="minorEastAsia"/>
          <w:kern w:val="0"/>
          <w:sz w:val="22"/>
          <w:szCs w:val="22"/>
          <w:u w:val="single"/>
        </w:rPr>
      </w:pPr>
      <w:r>
        <w:rPr>
          <w:rFonts w:hint="eastAsia" w:asciiTheme="minorEastAsia" w:hAnsiTheme="minorEastAsia" w:eastAsiaTheme="minorEastAsia" w:cstheme="minorEastAsia"/>
          <w:kern w:val="0"/>
          <w:sz w:val="22"/>
          <w:szCs w:val="22"/>
        </w:rPr>
        <w:t>承包人违约责任的承担方式和计算方法：</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r>
        <w:rPr>
          <w:rFonts w:hint="eastAsia" w:asciiTheme="minorEastAsia" w:hAnsiTheme="minorEastAsia" w:eastAsiaTheme="minorEastAsia" w:cstheme="minorEastAsia"/>
          <w:sz w:val="22"/>
          <w:szCs w:val="22"/>
        </w:rPr>
        <w:t xml:space="preserve">    </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16.2.3 因承包人违约解除合同</w:t>
      </w:r>
    </w:p>
    <w:p>
      <w:pPr>
        <w:spacing w:before="120" w:after="120" w:line="360" w:lineRule="auto"/>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关于承包人违约解除合同的特别约定：</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before="120" w:after="120" w:line="360" w:lineRule="auto"/>
        <w:ind w:firstLine="48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501" w:name="_Toc351203649"/>
      <w:r>
        <w:rPr>
          <w:rFonts w:hint="eastAsia" w:asciiTheme="minorEastAsia" w:hAnsiTheme="minorEastAsia" w:eastAsiaTheme="minorEastAsia" w:cstheme="minorEastAsia"/>
          <w:sz w:val="22"/>
          <w:szCs w:val="22"/>
          <w:lang w:val="zh-CN"/>
        </w:rPr>
        <w:t>17. 不可抗力</w:t>
      </w:r>
      <w:bookmarkEnd w:id="501"/>
      <w:r>
        <w:rPr>
          <w:rFonts w:hint="eastAsia" w:asciiTheme="minorEastAsia" w:hAnsiTheme="minorEastAsia" w:eastAsiaTheme="minorEastAsia" w:cstheme="minorEastAsia"/>
          <w:sz w:val="22"/>
          <w:szCs w:val="22"/>
          <w:lang w:val="zh-CN"/>
        </w:rPr>
        <w:t xml:space="preserve"> </w:t>
      </w:r>
      <w:bookmarkEnd w:id="499"/>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17.1 不可抗力的确认</w:t>
      </w:r>
    </w:p>
    <w:p>
      <w:pPr>
        <w:spacing w:line="360" w:lineRule="auto"/>
        <w:ind w:firstLine="480"/>
        <w:jc w:val="left"/>
        <w:rPr>
          <w:rFonts w:asciiTheme="minorEastAsia" w:hAnsiTheme="minorEastAsia" w:eastAsiaTheme="minorEastAsia" w:cstheme="minorEastAsia"/>
          <w:kern w:val="0"/>
          <w:sz w:val="22"/>
          <w:szCs w:val="22"/>
          <w:u w:val="single"/>
        </w:rPr>
      </w:pPr>
      <w:r>
        <w:rPr>
          <w:rFonts w:hint="eastAsia" w:asciiTheme="minorEastAsia" w:hAnsiTheme="minorEastAsia" w:eastAsiaTheme="minorEastAsia" w:cstheme="minorEastAsia"/>
          <w:sz w:val="22"/>
          <w:szCs w:val="22"/>
        </w:rPr>
        <w:t xml:space="preserve">除通用合同条款约定的不可抗力事件之外，视为不可抗力的其他情形： </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17.4 因不可抗力解除合同</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合同解除后，发包人应在商定或确定发包人应支付款项后</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2"/>
          <w:szCs w:val="22"/>
        </w:rPr>
        <w:t>天内完成款项的支付。</w:t>
      </w:r>
    </w:p>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502" w:name="_Toc351203650"/>
      <w:r>
        <w:rPr>
          <w:rFonts w:hint="eastAsia" w:asciiTheme="minorEastAsia" w:hAnsiTheme="minorEastAsia" w:eastAsiaTheme="minorEastAsia" w:cstheme="minorEastAsia"/>
          <w:sz w:val="22"/>
          <w:szCs w:val="22"/>
          <w:lang w:val="zh-CN"/>
        </w:rPr>
        <w:t>18. 保险</w:t>
      </w:r>
      <w:bookmarkEnd w:id="502"/>
    </w:p>
    <w:bookmarkEnd w:id="500"/>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18.1 工程保险</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关于工程保险的特别约定：</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18.3 其他保险</w:t>
      </w:r>
    </w:p>
    <w:p>
      <w:pPr>
        <w:spacing w:line="360" w:lineRule="auto"/>
        <w:ind w:firstLine="480"/>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sz w:val="22"/>
          <w:szCs w:val="22"/>
        </w:rPr>
        <w:t>关于其他保险的约定：</w:t>
      </w:r>
      <w:r>
        <w:rPr>
          <w:rFonts w:hint="eastAsia" w:asciiTheme="minorEastAsia" w:hAnsiTheme="minorEastAsia" w:eastAsiaTheme="minorEastAsia" w:cstheme="minorEastAsia"/>
          <w:kern w:val="0"/>
          <w:sz w:val="22"/>
          <w:szCs w:val="22"/>
          <w:u w:val="single"/>
        </w:rPr>
        <w:t xml:space="preserve">       /          </w:t>
      </w:r>
      <w:r>
        <w:rPr>
          <w:rFonts w:hint="eastAsia" w:asciiTheme="minorEastAsia" w:hAnsiTheme="minorEastAsia" w:eastAsiaTheme="minorEastAsia" w:cstheme="minorEastAsia"/>
          <w:kern w:val="0"/>
          <w:sz w:val="22"/>
          <w:szCs w:val="22"/>
        </w:rPr>
        <w:t>。</w:t>
      </w:r>
    </w:p>
    <w:p>
      <w:pPr>
        <w:spacing w:line="360" w:lineRule="auto"/>
        <w:jc w:val="left"/>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sz w:val="22"/>
          <w:szCs w:val="22"/>
        </w:rPr>
        <w:t>承包人是否应为其施工设备等办理财产保险：</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18.7 通知义务</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关于变更保险合同时的通知义务的约定：</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bookmarkEnd w:id="476"/>
    <w:bookmarkEnd w:id="477"/>
    <w:bookmarkEnd w:id="478"/>
    <w:bookmarkEnd w:id="479"/>
    <w:bookmarkEnd w:id="480"/>
    <w:bookmarkEnd w:id="481"/>
    <w:bookmarkEnd w:id="482"/>
    <w:bookmarkEnd w:id="483"/>
    <w:bookmarkEnd w:id="484"/>
    <w:bookmarkEnd w:id="485"/>
    <w:bookmarkEnd w:id="486"/>
    <w:bookmarkEnd w:id="487"/>
    <w:p>
      <w:pPr>
        <w:keepNext/>
        <w:keepLines/>
        <w:spacing w:before="120" w:after="120" w:line="360" w:lineRule="auto"/>
        <w:outlineLvl w:val="3"/>
        <w:rPr>
          <w:rFonts w:asciiTheme="minorEastAsia" w:hAnsiTheme="minorEastAsia" w:eastAsiaTheme="minorEastAsia" w:cstheme="minorEastAsia"/>
          <w:sz w:val="22"/>
          <w:szCs w:val="22"/>
          <w:lang w:val="zh-CN"/>
        </w:rPr>
      </w:pPr>
      <w:bookmarkStart w:id="503" w:name="_Toc351203651"/>
      <w:r>
        <w:rPr>
          <w:rFonts w:hint="eastAsia" w:asciiTheme="minorEastAsia" w:hAnsiTheme="minorEastAsia" w:eastAsiaTheme="minorEastAsia" w:cstheme="minorEastAsia"/>
          <w:sz w:val="22"/>
          <w:szCs w:val="22"/>
          <w:lang w:val="zh-CN"/>
        </w:rPr>
        <w:t>20. 争议解决</w:t>
      </w:r>
      <w:bookmarkEnd w:id="503"/>
    </w:p>
    <w:bookmarkEnd w:id="488"/>
    <w:bookmarkEnd w:id="489"/>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20.3 争</w:t>
      </w:r>
      <w:bookmarkEnd w:id="490"/>
      <w:r>
        <w:rPr>
          <w:rFonts w:hint="eastAsia" w:asciiTheme="minorEastAsia" w:hAnsiTheme="minorEastAsia" w:eastAsiaTheme="minorEastAsia" w:cstheme="minorEastAsia"/>
          <w:sz w:val="22"/>
          <w:szCs w:val="22"/>
          <w:lang w:val="zh-CN"/>
        </w:rPr>
        <w:t>议评审</w:t>
      </w:r>
    </w:p>
    <w:p>
      <w:pPr>
        <w:spacing w:line="360" w:lineRule="auto"/>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合同当事人是否同意将工程争议提交争议评审小组决定：</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 xml:space="preserve">。  </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20.3.1 争议评审小组的确定</w:t>
      </w:r>
    </w:p>
    <w:p>
      <w:pPr>
        <w:spacing w:line="360" w:lineRule="auto"/>
        <w:ind w:firstLine="480"/>
        <w:jc w:val="lef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争议评审小组成员的确定：</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选定争议评审员的期限：</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争议评审小组成员的报酬承担方式：</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其他事项的约定：</w:t>
      </w:r>
      <w:r>
        <w:rPr>
          <w:rFonts w:hint="eastAsia" w:asciiTheme="minorEastAsia" w:hAnsiTheme="minorEastAsia" w:eastAsiaTheme="minorEastAsia" w:cstheme="minorEastAsia"/>
          <w:sz w:val="22"/>
          <w:szCs w:val="22"/>
          <w:u w:val="single"/>
        </w:rPr>
        <w:t xml:space="preserve">             /            </w:t>
      </w:r>
      <w:r>
        <w:rPr>
          <w:rFonts w:hint="eastAsia" w:asciiTheme="minorEastAsia" w:hAnsiTheme="minorEastAsia" w:eastAsiaTheme="minorEastAsia" w:cstheme="minorEastAsia"/>
          <w:sz w:val="22"/>
          <w:szCs w:val="22"/>
        </w:rPr>
        <w:t>。</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20.3.2 争议评审小组的决定</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合同当事人关于本项的约定：                           。</w:t>
      </w:r>
    </w:p>
    <w:p>
      <w:pPr>
        <w:keepNext/>
        <w:keepLines/>
        <w:spacing w:before="120" w:after="120" w:line="360" w:lineRule="auto"/>
        <w:ind w:left="480"/>
        <w:outlineLvl w:val="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20.4仲裁或诉讼</w:t>
      </w:r>
      <w:bookmarkEnd w:id="491"/>
    </w:p>
    <w:p>
      <w:pPr>
        <w:spacing w:after="120" w:line="360" w:lineRule="auto"/>
        <w:ind w:firstLine="48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因合同及合同有关事项发生的争议，按下列第</w:t>
      </w:r>
      <w:r>
        <w:rPr>
          <w:rFonts w:hint="eastAsia" w:asciiTheme="minorEastAsia" w:hAnsiTheme="minorEastAsia" w:eastAsiaTheme="minorEastAsia" w:cstheme="minorEastAsia"/>
          <w:sz w:val="22"/>
          <w:szCs w:val="22"/>
          <w:u w:val="single"/>
        </w:rPr>
        <w:t xml:space="preserve">   （2）  </w:t>
      </w:r>
      <w:r>
        <w:rPr>
          <w:rFonts w:hint="eastAsia" w:asciiTheme="minorEastAsia" w:hAnsiTheme="minorEastAsia" w:eastAsiaTheme="minorEastAsia" w:cstheme="minorEastAsia"/>
          <w:sz w:val="22"/>
          <w:szCs w:val="22"/>
        </w:rPr>
        <w:t>种方式解决：</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（1）向</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2"/>
          <w:szCs w:val="22"/>
        </w:rPr>
        <w:t>仲裁委员会申请仲裁；</w:t>
      </w: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（2）向</w:t>
      </w:r>
      <w:r>
        <w:rPr>
          <w:rFonts w:hint="eastAsia" w:asciiTheme="minorEastAsia" w:hAnsiTheme="minorEastAsia" w:eastAsiaTheme="minorEastAsia" w:cstheme="minorEastAsia"/>
          <w:sz w:val="22"/>
          <w:szCs w:val="22"/>
          <w:u w:val="single"/>
        </w:rPr>
        <w:t xml:space="preserve">    工程所在地       </w:t>
      </w:r>
      <w:r>
        <w:rPr>
          <w:rFonts w:hint="eastAsia" w:asciiTheme="minorEastAsia" w:hAnsiTheme="minorEastAsia" w:eastAsiaTheme="minorEastAsia" w:cstheme="minorEastAsia"/>
          <w:sz w:val="22"/>
          <w:szCs w:val="22"/>
        </w:rPr>
        <w:t>人民法院起诉。</w:t>
      </w:r>
      <w:bookmarkEnd w:id="492"/>
      <w:bookmarkEnd w:id="493"/>
      <w:bookmarkEnd w:id="494"/>
      <w:bookmarkEnd w:id="495"/>
      <w:bookmarkEnd w:id="496"/>
      <w:bookmarkEnd w:id="497"/>
    </w:p>
    <w:p>
      <w:pPr>
        <w:spacing w:line="360" w:lineRule="auto"/>
        <w:ind w:firstLine="480"/>
        <w:jc w:val="left"/>
        <w:rPr>
          <w:rFonts w:asciiTheme="minorEastAsia" w:hAnsiTheme="minorEastAsia" w:eastAsiaTheme="minorEastAsia" w:cstheme="minorEastAsia"/>
          <w:sz w:val="22"/>
          <w:szCs w:val="22"/>
        </w:rPr>
      </w:pPr>
    </w:p>
    <w:p>
      <w:pPr>
        <w:spacing w:line="360" w:lineRule="auto"/>
        <w:ind w:firstLine="48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21、社会保险费取费及缴交核对办法：执行沪建建管（2017）899号文，按实结算，且最终社会保险费结算金额不高于承包人投标自报金额。</w:t>
      </w:r>
    </w:p>
    <w:p>
      <w:pPr>
        <w:rPr>
          <w:rFonts w:ascii="宋体" w:hAnsi="宋体"/>
          <w:szCs w:val="21"/>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left="420" w:firstLine="0" w:firstLineChars="0"/>
        <w:jc w:val="center"/>
        <w:rPr>
          <w:rFonts w:ascii="Arial" w:hAnsi="Arial" w:cs="Arial"/>
          <w:b/>
          <w:bCs/>
          <w:color w:val="222222"/>
          <w:kern w:val="36"/>
          <w:sz w:val="48"/>
          <w:szCs w:val="48"/>
        </w:rPr>
      </w:pPr>
    </w:p>
    <w:p>
      <w:pPr>
        <w:pStyle w:val="37"/>
        <w:widowControl/>
        <w:spacing w:before="100" w:beforeAutospacing="1" w:after="100" w:afterAutospacing="1" w:line="360" w:lineRule="auto"/>
        <w:ind w:firstLine="0" w:firstLineChars="0"/>
        <w:rPr>
          <w:rFonts w:ascii="Arial" w:hAnsi="Arial" w:cs="Arial"/>
          <w:b/>
          <w:bCs/>
          <w:color w:val="222222"/>
          <w:kern w:val="36"/>
          <w:sz w:val="48"/>
          <w:szCs w:val="48"/>
        </w:rPr>
      </w:pPr>
    </w:p>
    <w:p>
      <w:pPr>
        <w:pStyle w:val="37"/>
        <w:widowControl/>
        <w:spacing w:before="100" w:beforeAutospacing="1" w:after="100" w:afterAutospacing="1" w:line="360" w:lineRule="auto"/>
        <w:ind w:firstLine="0" w:firstLineChars="0"/>
        <w:rPr>
          <w:rFonts w:ascii="Arial" w:hAnsi="Arial" w:cs="Arial"/>
          <w:b/>
          <w:bCs/>
          <w:color w:val="222222"/>
          <w:kern w:val="36"/>
          <w:sz w:val="48"/>
          <w:szCs w:val="48"/>
        </w:rPr>
      </w:pPr>
    </w:p>
    <w:p>
      <w:pPr>
        <w:pStyle w:val="37"/>
        <w:widowControl/>
        <w:spacing w:before="100" w:beforeAutospacing="1" w:after="100" w:afterAutospacing="1" w:line="360" w:lineRule="auto"/>
        <w:ind w:firstLine="0" w:firstLineChars="0"/>
        <w:rPr>
          <w:rFonts w:ascii="Arial" w:hAnsi="Arial" w:cs="Arial"/>
          <w:b/>
          <w:bCs/>
          <w:color w:val="222222"/>
          <w:kern w:val="36"/>
          <w:sz w:val="48"/>
          <w:szCs w:val="48"/>
        </w:rPr>
      </w:pPr>
    </w:p>
    <w:p>
      <w:pPr>
        <w:pStyle w:val="4"/>
        <w:rPr>
          <w:rFonts w:ascii="Arial" w:cs="Arial"/>
          <w:color w:val="222222"/>
          <w:kern w:val="36"/>
          <w:sz w:val="22"/>
          <w:szCs w:val="22"/>
        </w:rPr>
      </w:pPr>
      <w:bookmarkStart w:id="504" w:name="_Toc11963269"/>
      <w:bookmarkStart w:id="505" w:name="_Toc19769"/>
      <w:bookmarkStart w:id="506" w:name="_Toc13188"/>
      <w:bookmarkStart w:id="507" w:name="_Toc12363474"/>
      <w:bookmarkStart w:id="508" w:name="_Toc3660"/>
      <w:bookmarkStart w:id="509" w:name="_Toc9112933"/>
      <w:bookmarkStart w:id="510" w:name="_Toc23079"/>
      <w:r>
        <w:rPr>
          <w:rFonts w:hint="eastAsia" w:ascii="宋体" w:hAnsi="宋体" w:eastAsia="宋体" w:cs="仿宋"/>
          <w:sz w:val="22"/>
          <w:szCs w:val="22"/>
        </w:rPr>
        <w:t>附件1：廉政责任书格式</w:t>
      </w:r>
      <w:bookmarkEnd w:id="504"/>
      <w:bookmarkEnd w:id="505"/>
      <w:bookmarkEnd w:id="506"/>
      <w:bookmarkEnd w:id="507"/>
      <w:bookmarkEnd w:id="508"/>
      <w:bookmarkEnd w:id="509"/>
      <w:bookmarkEnd w:id="510"/>
    </w:p>
    <w:p>
      <w:pPr>
        <w:spacing w:beforeLines="50" w:afterLines="50" w:line="360" w:lineRule="auto"/>
        <w:jc w:val="center"/>
        <w:rPr>
          <w:rFonts w:ascii="宋体" w:hAnsi="宋体"/>
          <w:sz w:val="22"/>
          <w:szCs w:val="22"/>
        </w:rPr>
      </w:pPr>
      <w:r>
        <w:rPr>
          <w:rFonts w:hint="eastAsia" w:ascii="宋体" w:hAnsi="宋体"/>
          <w:sz w:val="22"/>
          <w:szCs w:val="22"/>
        </w:rPr>
        <w:t>建设工程廉政责任书</w:t>
      </w:r>
    </w:p>
    <w:p>
      <w:pPr>
        <w:spacing w:line="360" w:lineRule="auto"/>
        <w:ind w:firstLine="440" w:firstLineChars="200"/>
        <w:rPr>
          <w:rFonts w:ascii="宋体" w:hAnsi="宋体"/>
          <w:sz w:val="22"/>
          <w:szCs w:val="22"/>
        </w:rPr>
      </w:pPr>
    </w:p>
    <w:p>
      <w:pPr>
        <w:spacing w:line="360" w:lineRule="auto"/>
        <w:ind w:firstLine="440" w:firstLineChars="200"/>
        <w:rPr>
          <w:rFonts w:ascii="宋体" w:hAnsi="宋体"/>
          <w:sz w:val="22"/>
          <w:szCs w:val="22"/>
        </w:rPr>
      </w:pPr>
    </w:p>
    <w:p>
      <w:pPr>
        <w:spacing w:line="360" w:lineRule="auto"/>
        <w:ind w:firstLine="440" w:firstLineChars="200"/>
        <w:rPr>
          <w:rFonts w:ascii="宋体" w:hAnsi="宋体"/>
          <w:sz w:val="22"/>
          <w:szCs w:val="22"/>
        </w:rPr>
      </w:pPr>
      <w:r>
        <w:rPr>
          <w:rFonts w:hint="eastAsia" w:ascii="宋体" w:hAnsi="宋体"/>
          <w:sz w:val="22"/>
          <w:szCs w:val="22"/>
        </w:rPr>
        <w:t>发包人：</w:t>
      </w:r>
      <w:r>
        <w:rPr>
          <w:rFonts w:ascii="宋体" w:hAnsi="宋体"/>
          <w:sz w:val="22"/>
          <w:szCs w:val="22"/>
          <w:u w:val="single"/>
        </w:rPr>
        <w:t xml:space="preserve">                                               </w:t>
      </w:r>
    </w:p>
    <w:p>
      <w:pPr>
        <w:spacing w:line="360" w:lineRule="auto"/>
        <w:ind w:firstLine="440" w:firstLineChars="200"/>
        <w:rPr>
          <w:rFonts w:ascii="宋体" w:hAnsi="宋体"/>
          <w:sz w:val="22"/>
          <w:szCs w:val="22"/>
        </w:rPr>
      </w:pPr>
      <w:r>
        <w:rPr>
          <w:rFonts w:hint="eastAsia" w:ascii="宋体" w:hAnsi="宋体"/>
          <w:sz w:val="22"/>
          <w:szCs w:val="22"/>
        </w:rPr>
        <w:t>承包人：</w:t>
      </w:r>
      <w:r>
        <w:rPr>
          <w:rFonts w:ascii="宋体" w:hAnsi="宋体"/>
          <w:sz w:val="22"/>
          <w:szCs w:val="22"/>
          <w:u w:val="single"/>
        </w:rPr>
        <w:t xml:space="preserve">                                               </w:t>
      </w:r>
    </w:p>
    <w:p>
      <w:pPr>
        <w:spacing w:line="360" w:lineRule="auto"/>
        <w:ind w:firstLine="440" w:firstLineChars="200"/>
        <w:rPr>
          <w:rFonts w:ascii="宋体" w:hAnsi="宋体"/>
          <w:sz w:val="22"/>
          <w:szCs w:val="22"/>
        </w:rPr>
      </w:pPr>
      <w:r>
        <w:rPr>
          <w:rFonts w:hint="eastAsia" w:ascii="宋体" w:hAnsi="宋体"/>
          <w:sz w:val="22"/>
          <w:szCs w:val="22"/>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auto"/>
        <w:ind w:firstLine="440" w:firstLineChars="200"/>
        <w:rPr>
          <w:rFonts w:ascii="宋体" w:hAnsi="宋体"/>
          <w:sz w:val="22"/>
          <w:szCs w:val="22"/>
        </w:rPr>
      </w:pPr>
      <w:r>
        <w:rPr>
          <w:rFonts w:hint="eastAsia" w:ascii="宋体" w:hAnsi="宋体"/>
          <w:sz w:val="22"/>
          <w:szCs w:val="22"/>
        </w:rPr>
        <w:t>一、双方的责任</w:t>
      </w:r>
    </w:p>
    <w:p>
      <w:pPr>
        <w:spacing w:line="360" w:lineRule="auto"/>
        <w:ind w:firstLine="440" w:firstLineChars="200"/>
        <w:rPr>
          <w:rFonts w:ascii="宋体" w:hAnsi="宋体"/>
          <w:sz w:val="22"/>
          <w:szCs w:val="22"/>
        </w:rPr>
      </w:pPr>
      <w:r>
        <w:rPr>
          <w:rFonts w:ascii="宋体" w:hAnsi="宋体"/>
          <w:sz w:val="22"/>
          <w:szCs w:val="22"/>
        </w:rPr>
        <w:t>1.1</w:t>
      </w:r>
      <w:r>
        <w:rPr>
          <w:rFonts w:hint="eastAsia" w:ascii="宋体" w:hAnsi="宋体"/>
          <w:sz w:val="22"/>
          <w:szCs w:val="22"/>
        </w:rPr>
        <w:t>应严格遵守国家关于建设工程的有关法律、法规，相关政策，以及廉政建设的各项规定。</w:t>
      </w:r>
    </w:p>
    <w:p>
      <w:pPr>
        <w:spacing w:line="360" w:lineRule="auto"/>
        <w:ind w:firstLine="440" w:firstLineChars="200"/>
        <w:rPr>
          <w:rFonts w:ascii="宋体" w:hAnsi="宋体"/>
          <w:sz w:val="22"/>
          <w:szCs w:val="22"/>
        </w:rPr>
      </w:pPr>
      <w:r>
        <w:rPr>
          <w:rFonts w:ascii="宋体" w:hAnsi="宋体"/>
          <w:sz w:val="22"/>
          <w:szCs w:val="22"/>
        </w:rPr>
        <w:t>1.2</w:t>
      </w:r>
      <w:r>
        <w:rPr>
          <w:rFonts w:hint="eastAsia" w:ascii="宋体" w:hAnsi="宋体"/>
          <w:sz w:val="22"/>
          <w:szCs w:val="22"/>
        </w:rPr>
        <w:t>严格执行建设工程合同文件，自觉按合同办事。</w:t>
      </w:r>
    </w:p>
    <w:p>
      <w:pPr>
        <w:spacing w:line="360" w:lineRule="auto"/>
        <w:ind w:firstLine="440" w:firstLineChars="200"/>
        <w:rPr>
          <w:rFonts w:ascii="宋体" w:hAnsi="宋体"/>
          <w:sz w:val="22"/>
          <w:szCs w:val="22"/>
        </w:rPr>
      </w:pPr>
      <w:r>
        <w:rPr>
          <w:rFonts w:ascii="宋体" w:hAnsi="宋体"/>
          <w:sz w:val="22"/>
          <w:szCs w:val="22"/>
        </w:rPr>
        <w:t>1.3</w:t>
      </w:r>
      <w:r>
        <w:rPr>
          <w:rFonts w:hint="eastAsia" w:ascii="宋体" w:hAnsi="宋体"/>
          <w:sz w:val="22"/>
          <w:szCs w:val="22"/>
        </w:rPr>
        <w:t>各项活动必须坚持公开、公平、公正、诚信、透明的原则</w:t>
      </w:r>
      <w:r>
        <w:rPr>
          <w:rFonts w:ascii="宋体" w:hAnsi="宋体"/>
          <w:sz w:val="22"/>
          <w:szCs w:val="22"/>
        </w:rPr>
        <w:t>(</w:t>
      </w:r>
      <w:r>
        <w:rPr>
          <w:rFonts w:hint="eastAsia" w:ascii="宋体" w:hAnsi="宋体"/>
          <w:sz w:val="22"/>
          <w:szCs w:val="22"/>
        </w:rPr>
        <w:t>除法律法规另有规定者外</w:t>
      </w:r>
      <w:r>
        <w:rPr>
          <w:rFonts w:ascii="宋体" w:hAnsi="宋体"/>
          <w:sz w:val="22"/>
          <w:szCs w:val="22"/>
        </w:rPr>
        <w:t>)</w:t>
      </w:r>
      <w:r>
        <w:rPr>
          <w:rFonts w:hint="eastAsia" w:ascii="宋体" w:hAnsi="宋体"/>
          <w:sz w:val="22"/>
          <w:szCs w:val="22"/>
        </w:rPr>
        <w:t>，不得为获取不正当的利益，损害国家、集体和对方利益，不得违反建设工程管理的规章制度。</w:t>
      </w:r>
    </w:p>
    <w:p>
      <w:pPr>
        <w:spacing w:line="360" w:lineRule="auto"/>
        <w:ind w:firstLine="440" w:firstLineChars="200"/>
        <w:rPr>
          <w:rFonts w:ascii="宋体" w:hAnsi="宋体"/>
          <w:sz w:val="22"/>
          <w:szCs w:val="22"/>
        </w:rPr>
      </w:pPr>
      <w:r>
        <w:rPr>
          <w:rFonts w:ascii="宋体" w:hAnsi="宋体"/>
          <w:sz w:val="22"/>
          <w:szCs w:val="22"/>
        </w:rPr>
        <w:t>1.4</w:t>
      </w:r>
      <w:r>
        <w:rPr>
          <w:rFonts w:hint="eastAsia" w:ascii="宋体" w:hAnsi="宋体"/>
          <w:sz w:val="22"/>
          <w:szCs w:val="22"/>
        </w:rPr>
        <w:t>发现对方在业务活动中有违规、违纪、违法行为的，应及时提醒对方，情节严重的，应向其上级主管部门或纪检监察、司法等有关机关举报。</w:t>
      </w:r>
    </w:p>
    <w:p>
      <w:pPr>
        <w:spacing w:line="360" w:lineRule="auto"/>
        <w:ind w:firstLine="440" w:firstLineChars="200"/>
        <w:rPr>
          <w:rFonts w:ascii="宋体" w:hAnsi="宋体"/>
          <w:sz w:val="22"/>
          <w:szCs w:val="22"/>
        </w:rPr>
      </w:pPr>
      <w:r>
        <w:rPr>
          <w:rFonts w:hint="eastAsia" w:ascii="宋体" w:hAnsi="宋体"/>
          <w:sz w:val="22"/>
          <w:szCs w:val="22"/>
        </w:rPr>
        <w:t>二、发包人责任</w:t>
      </w:r>
    </w:p>
    <w:p>
      <w:pPr>
        <w:spacing w:line="360" w:lineRule="auto"/>
        <w:ind w:firstLine="440" w:firstLineChars="200"/>
        <w:rPr>
          <w:rFonts w:ascii="宋体" w:hAnsi="宋体"/>
          <w:sz w:val="22"/>
          <w:szCs w:val="22"/>
        </w:rPr>
      </w:pPr>
      <w:r>
        <w:rPr>
          <w:rFonts w:hint="eastAsia" w:ascii="宋体" w:hAnsi="宋体"/>
          <w:sz w:val="22"/>
          <w:szCs w:val="22"/>
        </w:rPr>
        <w:t>发包人的领导和从事该建设工程项目的工作人员，在工程建设的事前、事中、事后应遵守以下规定：</w:t>
      </w:r>
    </w:p>
    <w:p>
      <w:pPr>
        <w:spacing w:line="360" w:lineRule="auto"/>
        <w:ind w:firstLine="440" w:firstLineChars="200"/>
        <w:rPr>
          <w:rFonts w:ascii="宋体" w:hAnsi="宋体"/>
          <w:sz w:val="22"/>
          <w:szCs w:val="22"/>
        </w:rPr>
      </w:pPr>
      <w:r>
        <w:rPr>
          <w:rFonts w:ascii="宋体" w:hAnsi="宋体"/>
          <w:sz w:val="22"/>
          <w:szCs w:val="22"/>
        </w:rPr>
        <w:t>2.1</w:t>
      </w:r>
      <w:r>
        <w:rPr>
          <w:rFonts w:hint="eastAsia" w:ascii="宋体" w:hAnsi="宋体"/>
          <w:sz w:val="22"/>
          <w:szCs w:val="22"/>
        </w:rPr>
        <w:t>不得向承包人和相关单位索要或接受回扣、礼金、有价证券、贵重物品和好处费、感谢费等。</w:t>
      </w:r>
    </w:p>
    <w:p>
      <w:pPr>
        <w:spacing w:line="360" w:lineRule="auto"/>
        <w:ind w:firstLine="440" w:firstLineChars="200"/>
        <w:rPr>
          <w:rFonts w:ascii="宋体" w:hAnsi="宋体"/>
          <w:sz w:val="22"/>
          <w:szCs w:val="22"/>
        </w:rPr>
      </w:pPr>
      <w:r>
        <w:rPr>
          <w:rFonts w:ascii="宋体" w:hAnsi="宋体"/>
          <w:sz w:val="22"/>
          <w:szCs w:val="22"/>
        </w:rPr>
        <w:t>2.2</w:t>
      </w:r>
      <w:r>
        <w:rPr>
          <w:rFonts w:hint="eastAsia" w:ascii="宋体" w:hAnsi="宋体"/>
          <w:sz w:val="22"/>
          <w:szCs w:val="22"/>
        </w:rPr>
        <w:t>不得在承包人和相关单位报销任何应由发包人或个人支付的费用。</w:t>
      </w:r>
    </w:p>
    <w:p>
      <w:pPr>
        <w:spacing w:line="360" w:lineRule="auto"/>
        <w:ind w:firstLine="440" w:firstLineChars="200"/>
        <w:rPr>
          <w:rFonts w:ascii="宋体" w:hAnsi="宋体"/>
          <w:sz w:val="22"/>
          <w:szCs w:val="22"/>
        </w:rPr>
      </w:pPr>
      <w:r>
        <w:rPr>
          <w:rFonts w:ascii="宋体" w:hAnsi="宋体"/>
          <w:sz w:val="22"/>
          <w:szCs w:val="22"/>
        </w:rPr>
        <w:t>2.3</w:t>
      </w:r>
      <w:r>
        <w:rPr>
          <w:rFonts w:hint="eastAsia" w:ascii="宋体" w:hAnsi="宋体"/>
          <w:sz w:val="22"/>
          <w:szCs w:val="22"/>
        </w:rPr>
        <w:t>不得要求、暗示或接受承包人和相关单位为个人装修住房、婚丧嫁娶、配偶子女的工作安排以及出国</w:t>
      </w:r>
      <w:r>
        <w:rPr>
          <w:rFonts w:ascii="宋体" w:hAnsi="宋体"/>
          <w:sz w:val="22"/>
          <w:szCs w:val="22"/>
        </w:rPr>
        <w:t>(</w:t>
      </w:r>
      <w:r>
        <w:rPr>
          <w:rFonts w:hint="eastAsia" w:ascii="宋体" w:hAnsi="宋体"/>
          <w:sz w:val="22"/>
          <w:szCs w:val="22"/>
        </w:rPr>
        <w:t>境</w:t>
      </w:r>
      <w:r>
        <w:rPr>
          <w:rFonts w:ascii="宋体" w:hAnsi="宋体"/>
          <w:sz w:val="22"/>
          <w:szCs w:val="22"/>
        </w:rPr>
        <w:t>)</w:t>
      </w:r>
      <w:r>
        <w:rPr>
          <w:rFonts w:hint="eastAsia" w:ascii="宋体" w:hAnsi="宋体"/>
          <w:sz w:val="22"/>
          <w:szCs w:val="22"/>
        </w:rPr>
        <w:t>、旅游等提供方便。</w:t>
      </w:r>
    </w:p>
    <w:p>
      <w:pPr>
        <w:spacing w:line="360" w:lineRule="auto"/>
        <w:ind w:firstLine="440" w:firstLineChars="200"/>
        <w:rPr>
          <w:rFonts w:ascii="宋体" w:hAnsi="宋体"/>
          <w:sz w:val="22"/>
          <w:szCs w:val="22"/>
        </w:rPr>
      </w:pPr>
      <w:r>
        <w:rPr>
          <w:rFonts w:ascii="宋体" w:hAnsi="宋体"/>
          <w:sz w:val="22"/>
          <w:szCs w:val="22"/>
        </w:rPr>
        <w:t>2.4</w:t>
      </w:r>
      <w:r>
        <w:rPr>
          <w:rFonts w:hint="eastAsia" w:ascii="宋体" w:hAnsi="宋体"/>
          <w:sz w:val="22"/>
          <w:szCs w:val="22"/>
        </w:rPr>
        <w:t>不得参加有可能影响公正执行公务的承包人和相关单位的宴请、健身、娱乐等活动。</w:t>
      </w:r>
    </w:p>
    <w:p>
      <w:pPr>
        <w:spacing w:line="360" w:lineRule="auto"/>
        <w:ind w:firstLine="440" w:firstLineChars="200"/>
        <w:rPr>
          <w:rFonts w:ascii="宋体" w:hAnsi="宋体"/>
          <w:sz w:val="22"/>
          <w:szCs w:val="22"/>
        </w:rPr>
      </w:pPr>
      <w:r>
        <w:rPr>
          <w:rFonts w:ascii="宋体" w:hAnsi="宋体"/>
          <w:sz w:val="22"/>
          <w:szCs w:val="22"/>
        </w:rPr>
        <w:t>2.5</w:t>
      </w:r>
      <w:r>
        <w:rPr>
          <w:rFonts w:hint="eastAsia" w:ascii="宋体" w:hAnsi="宋体"/>
          <w:sz w:val="22"/>
          <w:szCs w:val="22"/>
        </w:rPr>
        <w:t>不得向承包人和相关单位介绍或为配偶、子女、亲属参与同发包人工程建设管理合同有关的业务活动；不得以任何理由要求承包人和相关单位使用某种产品、材料和设备。</w:t>
      </w:r>
    </w:p>
    <w:p>
      <w:pPr>
        <w:spacing w:line="360" w:lineRule="auto"/>
        <w:ind w:firstLine="440" w:firstLineChars="200"/>
        <w:rPr>
          <w:rFonts w:ascii="宋体" w:hAnsi="宋体"/>
          <w:sz w:val="22"/>
          <w:szCs w:val="22"/>
        </w:rPr>
      </w:pPr>
      <w:r>
        <w:rPr>
          <w:rFonts w:hint="eastAsia" w:ascii="宋体" w:hAnsi="宋体"/>
          <w:sz w:val="22"/>
          <w:szCs w:val="22"/>
        </w:rPr>
        <w:t>三、承包人责任</w:t>
      </w:r>
    </w:p>
    <w:p>
      <w:pPr>
        <w:spacing w:line="360" w:lineRule="auto"/>
        <w:ind w:firstLine="440" w:firstLineChars="200"/>
        <w:rPr>
          <w:rFonts w:ascii="宋体" w:hAnsi="宋体"/>
          <w:sz w:val="22"/>
          <w:szCs w:val="22"/>
        </w:rPr>
      </w:pPr>
      <w:r>
        <w:rPr>
          <w:rFonts w:hint="eastAsia" w:ascii="宋体" w:hAnsi="宋体"/>
          <w:sz w:val="22"/>
          <w:szCs w:val="22"/>
        </w:rPr>
        <w:t>应与发包人保持正常的业务交往，按照有关法律法规和程序开展业务工作，严格执行工程建设的有关方针、政策，执行工程建设强制性标准，并遵守以下规定：</w:t>
      </w:r>
    </w:p>
    <w:p>
      <w:pPr>
        <w:spacing w:line="360" w:lineRule="auto"/>
        <w:ind w:firstLine="440" w:firstLineChars="200"/>
        <w:rPr>
          <w:rFonts w:ascii="宋体" w:hAnsi="宋体"/>
          <w:sz w:val="22"/>
          <w:szCs w:val="22"/>
        </w:rPr>
      </w:pPr>
      <w:r>
        <w:rPr>
          <w:rFonts w:ascii="宋体" w:hAnsi="宋体"/>
          <w:sz w:val="22"/>
          <w:szCs w:val="22"/>
        </w:rPr>
        <w:t>3.1</w:t>
      </w:r>
      <w:r>
        <w:rPr>
          <w:rFonts w:hint="eastAsia" w:ascii="宋体" w:hAnsi="宋体"/>
          <w:sz w:val="22"/>
          <w:szCs w:val="22"/>
        </w:rPr>
        <w:t>不得以任何理由向发包人及其工作人员索要、接受或赠送礼金、有价证券、贵重物品及回扣、好处费、感谢费等。</w:t>
      </w:r>
    </w:p>
    <w:p>
      <w:pPr>
        <w:spacing w:line="360" w:lineRule="auto"/>
        <w:ind w:firstLine="440" w:firstLineChars="200"/>
        <w:rPr>
          <w:rFonts w:ascii="宋体" w:hAnsi="宋体"/>
          <w:sz w:val="22"/>
          <w:szCs w:val="22"/>
        </w:rPr>
      </w:pPr>
      <w:r>
        <w:rPr>
          <w:rFonts w:ascii="宋体" w:hAnsi="宋体"/>
          <w:sz w:val="22"/>
          <w:szCs w:val="22"/>
        </w:rPr>
        <w:t>3.2</w:t>
      </w:r>
      <w:r>
        <w:rPr>
          <w:rFonts w:hint="eastAsia" w:ascii="宋体" w:hAnsi="宋体"/>
          <w:sz w:val="22"/>
          <w:szCs w:val="22"/>
        </w:rPr>
        <w:t>不得以任何理由为发包人和相关单位报销应由对方或个人支付的费用。</w:t>
      </w:r>
    </w:p>
    <w:p>
      <w:pPr>
        <w:spacing w:line="360" w:lineRule="auto"/>
        <w:ind w:firstLine="440" w:firstLineChars="200"/>
        <w:rPr>
          <w:rFonts w:ascii="宋体" w:hAnsi="宋体"/>
          <w:sz w:val="22"/>
          <w:szCs w:val="22"/>
        </w:rPr>
      </w:pPr>
      <w:r>
        <w:rPr>
          <w:rFonts w:ascii="宋体" w:hAnsi="宋体"/>
          <w:sz w:val="22"/>
          <w:szCs w:val="22"/>
        </w:rPr>
        <w:t>3.3</w:t>
      </w:r>
      <w:r>
        <w:rPr>
          <w:rFonts w:hint="eastAsia" w:ascii="宋体" w:hAnsi="宋体"/>
          <w:sz w:val="22"/>
          <w:szCs w:val="22"/>
        </w:rPr>
        <w:t>不得接受或暗示为发包人、相关单位或个人装修住房、婚丧嫁娶、配偶子女的工作安排以及出国</w:t>
      </w:r>
      <w:r>
        <w:rPr>
          <w:rFonts w:ascii="宋体" w:hAnsi="宋体"/>
          <w:sz w:val="22"/>
          <w:szCs w:val="22"/>
        </w:rPr>
        <w:t>(</w:t>
      </w:r>
      <w:r>
        <w:rPr>
          <w:rFonts w:hint="eastAsia" w:ascii="宋体" w:hAnsi="宋体"/>
          <w:sz w:val="22"/>
          <w:szCs w:val="22"/>
        </w:rPr>
        <w:t>境</w:t>
      </w:r>
      <w:r>
        <w:rPr>
          <w:rFonts w:ascii="宋体" w:hAnsi="宋体"/>
          <w:sz w:val="22"/>
          <w:szCs w:val="22"/>
        </w:rPr>
        <w:t>)</w:t>
      </w:r>
      <w:r>
        <w:rPr>
          <w:rFonts w:hint="eastAsia" w:ascii="宋体" w:hAnsi="宋体"/>
          <w:sz w:val="22"/>
          <w:szCs w:val="22"/>
        </w:rPr>
        <w:t>、旅游等提供方便。</w:t>
      </w:r>
    </w:p>
    <w:p>
      <w:pPr>
        <w:spacing w:line="360" w:lineRule="auto"/>
        <w:ind w:firstLine="440" w:firstLineChars="200"/>
        <w:rPr>
          <w:rFonts w:ascii="宋体" w:hAnsi="宋体"/>
          <w:sz w:val="22"/>
          <w:szCs w:val="22"/>
        </w:rPr>
      </w:pPr>
      <w:r>
        <w:rPr>
          <w:rFonts w:ascii="宋体" w:hAnsi="宋体"/>
          <w:sz w:val="22"/>
          <w:szCs w:val="22"/>
        </w:rPr>
        <w:t>3.4</w:t>
      </w:r>
      <w:r>
        <w:rPr>
          <w:rFonts w:hint="eastAsia" w:ascii="宋体" w:hAnsi="宋体"/>
          <w:sz w:val="22"/>
          <w:szCs w:val="22"/>
        </w:rPr>
        <w:t>不得以任何理由为发包人、相关单位或个人组织有可能影响公正执行公务的宴请、健身、娱乐等活动。</w:t>
      </w:r>
    </w:p>
    <w:p>
      <w:pPr>
        <w:spacing w:line="360" w:lineRule="auto"/>
        <w:ind w:firstLine="440" w:firstLineChars="200"/>
        <w:rPr>
          <w:rFonts w:ascii="宋体" w:hAnsi="宋体"/>
          <w:sz w:val="22"/>
          <w:szCs w:val="22"/>
        </w:rPr>
      </w:pPr>
      <w:r>
        <w:rPr>
          <w:rFonts w:hint="eastAsia" w:ascii="宋体" w:hAnsi="宋体"/>
          <w:sz w:val="22"/>
          <w:szCs w:val="22"/>
        </w:rPr>
        <w:t>四、违约责任</w:t>
      </w:r>
    </w:p>
    <w:p>
      <w:pPr>
        <w:spacing w:line="360" w:lineRule="auto"/>
        <w:ind w:firstLine="440" w:firstLineChars="200"/>
        <w:rPr>
          <w:rFonts w:ascii="宋体" w:hAnsi="宋体"/>
          <w:sz w:val="22"/>
          <w:szCs w:val="22"/>
        </w:rPr>
      </w:pPr>
      <w:r>
        <w:rPr>
          <w:rFonts w:ascii="宋体" w:hAnsi="宋体"/>
          <w:sz w:val="22"/>
          <w:szCs w:val="22"/>
        </w:rPr>
        <w:t>4.1</w:t>
      </w:r>
      <w:r>
        <w:rPr>
          <w:rFonts w:hint="eastAsia" w:ascii="宋体" w:hAnsi="宋体"/>
          <w:sz w:val="22"/>
          <w:szCs w:val="22"/>
        </w:rPr>
        <w:t>发包人工作人员有违反本责任书第一、二条责任行为的，依据有关法律、法规给予处理；涉嫌犯罪的，移交司法机关追究刑事责任；给承包人单位造成经济损失的，应予以赔偿。</w:t>
      </w:r>
    </w:p>
    <w:p>
      <w:pPr>
        <w:spacing w:line="360" w:lineRule="auto"/>
        <w:ind w:firstLine="440" w:firstLineChars="200"/>
        <w:rPr>
          <w:rFonts w:ascii="宋体" w:hAnsi="宋体"/>
          <w:sz w:val="22"/>
          <w:szCs w:val="22"/>
        </w:rPr>
      </w:pPr>
      <w:r>
        <w:rPr>
          <w:rFonts w:ascii="宋体" w:hAnsi="宋体"/>
          <w:sz w:val="22"/>
          <w:szCs w:val="22"/>
        </w:rPr>
        <w:t>4.2</w:t>
      </w:r>
      <w:r>
        <w:rPr>
          <w:rFonts w:hint="eastAsia" w:ascii="宋体" w:hAnsi="宋体"/>
          <w:sz w:val="22"/>
          <w:szCs w:val="22"/>
        </w:rPr>
        <w:t>承包人工作人员有违反本责任书第一、三条责任行为的，依据有关法律法规处理；涉嫌犯罪的，移交司法机关追究刑事责任；给发包人单位造成经济损失的，应予以赔偿。</w:t>
      </w:r>
    </w:p>
    <w:p>
      <w:pPr>
        <w:spacing w:line="360" w:lineRule="auto"/>
        <w:ind w:firstLine="440" w:firstLineChars="200"/>
        <w:rPr>
          <w:rFonts w:ascii="宋体" w:hAnsi="宋体"/>
          <w:sz w:val="22"/>
          <w:szCs w:val="22"/>
        </w:rPr>
      </w:pPr>
      <w:r>
        <w:rPr>
          <w:rFonts w:ascii="宋体" w:hAnsi="宋体"/>
          <w:sz w:val="22"/>
          <w:szCs w:val="22"/>
        </w:rPr>
        <w:t>4.3</w:t>
      </w:r>
      <w:r>
        <w:rPr>
          <w:rFonts w:hint="eastAsia" w:ascii="宋体" w:hAnsi="宋体"/>
          <w:sz w:val="22"/>
          <w:szCs w:val="22"/>
        </w:rPr>
        <w:t>本责任书作为建设工程合同的组成部分，与建设工程合同具有同等法律效力。经双方签署后立即生效。</w:t>
      </w:r>
    </w:p>
    <w:p>
      <w:pPr>
        <w:spacing w:line="360" w:lineRule="auto"/>
        <w:ind w:firstLine="440" w:firstLineChars="200"/>
        <w:rPr>
          <w:rFonts w:ascii="宋体" w:hAnsi="宋体"/>
          <w:sz w:val="22"/>
          <w:szCs w:val="22"/>
        </w:rPr>
      </w:pPr>
      <w:r>
        <w:rPr>
          <w:rFonts w:hint="eastAsia" w:ascii="宋体" w:hAnsi="宋体"/>
          <w:sz w:val="22"/>
          <w:szCs w:val="22"/>
        </w:rPr>
        <w:t>五、责任书有效期</w:t>
      </w:r>
    </w:p>
    <w:p>
      <w:pPr>
        <w:spacing w:line="360" w:lineRule="auto"/>
        <w:ind w:firstLine="440" w:firstLineChars="200"/>
        <w:rPr>
          <w:rFonts w:ascii="宋体" w:hAnsi="宋体"/>
          <w:sz w:val="22"/>
          <w:szCs w:val="22"/>
        </w:rPr>
      </w:pPr>
      <w:r>
        <w:rPr>
          <w:rFonts w:hint="eastAsia" w:ascii="宋体" w:hAnsi="宋体"/>
          <w:sz w:val="22"/>
          <w:szCs w:val="22"/>
        </w:rPr>
        <w:t>本责任书的有效期为双方签署之日起至该工程项目竣工验收合格时止。</w:t>
      </w:r>
    </w:p>
    <w:p>
      <w:pPr>
        <w:spacing w:line="360" w:lineRule="auto"/>
        <w:ind w:firstLine="440" w:firstLineChars="200"/>
        <w:rPr>
          <w:rFonts w:ascii="宋体" w:hAnsi="宋体"/>
          <w:sz w:val="22"/>
          <w:szCs w:val="22"/>
        </w:rPr>
      </w:pPr>
      <w:r>
        <w:rPr>
          <w:rFonts w:hint="eastAsia" w:ascii="宋体" w:hAnsi="宋体"/>
          <w:sz w:val="22"/>
          <w:szCs w:val="22"/>
        </w:rPr>
        <w:t>六、责任书份数</w:t>
      </w:r>
    </w:p>
    <w:p>
      <w:pPr>
        <w:spacing w:line="360" w:lineRule="auto"/>
        <w:ind w:firstLine="440" w:firstLineChars="200"/>
        <w:rPr>
          <w:rFonts w:ascii="宋体" w:hAnsi="宋体"/>
          <w:sz w:val="22"/>
          <w:szCs w:val="22"/>
        </w:rPr>
      </w:pPr>
      <w:r>
        <w:rPr>
          <w:rFonts w:hint="eastAsia" w:ascii="宋体" w:hAnsi="宋体"/>
          <w:sz w:val="22"/>
          <w:szCs w:val="22"/>
        </w:rPr>
        <w:t>本责任书一式二份，发包人承包人各执一份，具有同等效力。</w:t>
      </w:r>
    </w:p>
    <w:p>
      <w:pPr>
        <w:spacing w:line="360" w:lineRule="auto"/>
        <w:ind w:firstLine="440" w:firstLineChars="200"/>
        <w:rPr>
          <w:rFonts w:ascii="宋体" w:hAnsi="宋体"/>
          <w:sz w:val="22"/>
          <w:szCs w:val="22"/>
        </w:rPr>
      </w:pPr>
    </w:p>
    <w:p>
      <w:pPr>
        <w:spacing w:line="360" w:lineRule="auto"/>
        <w:ind w:firstLine="440" w:firstLineChars="200"/>
        <w:rPr>
          <w:rFonts w:ascii="宋体" w:hAnsi="宋体"/>
          <w:sz w:val="22"/>
          <w:szCs w:val="22"/>
        </w:rPr>
      </w:pPr>
    </w:p>
    <w:p>
      <w:pPr>
        <w:spacing w:line="360" w:lineRule="auto"/>
        <w:ind w:firstLine="440" w:firstLineChars="200"/>
        <w:rPr>
          <w:rFonts w:ascii="宋体" w:hAnsi="宋体"/>
          <w:sz w:val="22"/>
          <w:szCs w:val="22"/>
        </w:rPr>
      </w:pPr>
    </w:p>
    <w:p>
      <w:pPr>
        <w:spacing w:line="360" w:lineRule="auto"/>
        <w:ind w:firstLine="440" w:firstLineChars="200"/>
        <w:rPr>
          <w:rFonts w:ascii="宋体" w:hAnsi="宋体"/>
          <w:sz w:val="22"/>
          <w:szCs w:val="22"/>
        </w:rPr>
      </w:pPr>
      <w:r>
        <w:rPr>
          <w:rFonts w:hint="eastAsia" w:ascii="宋体" w:hAnsi="宋体"/>
          <w:sz w:val="22"/>
          <w:szCs w:val="22"/>
        </w:rPr>
        <w:t>发包人：</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单位公章</w:t>
      </w:r>
      <w:r>
        <w:rPr>
          <w:rFonts w:ascii="宋体" w:hAnsi="宋体"/>
          <w:sz w:val="22"/>
          <w:szCs w:val="22"/>
        </w:rPr>
        <w:t xml:space="preserve">)       </w:t>
      </w:r>
      <w:r>
        <w:rPr>
          <w:rFonts w:hint="eastAsia" w:ascii="宋体" w:hAnsi="宋体"/>
          <w:sz w:val="22"/>
          <w:szCs w:val="22"/>
        </w:rPr>
        <w:t>承包人：</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单位公章</w:t>
      </w:r>
      <w:r>
        <w:rPr>
          <w:rFonts w:ascii="宋体" w:hAnsi="宋体"/>
          <w:sz w:val="22"/>
          <w:szCs w:val="22"/>
        </w:rPr>
        <w:t>)</w:t>
      </w:r>
    </w:p>
    <w:p>
      <w:pPr>
        <w:spacing w:line="360" w:lineRule="auto"/>
        <w:ind w:firstLine="440" w:firstLineChars="200"/>
        <w:rPr>
          <w:rFonts w:ascii="宋体" w:hAnsi="宋体"/>
          <w:sz w:val="22"/>
          <w:szCs w:val="22"/>
        </w:rPr>
      </w:pPr>
      <w:r>
        <w:rPr>
          <w:rFonts w:hint="eastAsia" w:ascii="宋体" w:hAnsi="宋体"/>
          <w:sz w:val="22"/>
          <w:szCs w:val="22"/>
        </w:rPr>
        <w:t>法定地址：</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法定地址：</w:t>
      </w:r>
      <w:r>
        <w:rPr>
          <w:rFonts w:ascii="宋体" w:hAnsi="宋体"/>
          <w:sz w:val="22"/>
          <w:szCs w:val="22"/>
          <w:u w:val="single"/>
        </w:rPr>
        <w:t xml:space="preserve">                   </w:t>
      </w:r>
    </w:p>
    <w:p>
      <w:pPr>
        <w:spacing w:line="360" w:lineRule="auto"/>
        <w:ind w:firstLine="440" w:firstLineChars="200"/>
        <w:rPr>
          <w:rFonts w:ascii="宋体" w:hAnsi="宋体"/>
          <w:sz w:val="22"/>
          <w:szCs w:val="22"/>
        </w:rPr>
      </w:pPr>
      <w:r>
        <w:rPr>
          <w:rFonts w:hint="eastAsia" w:ascii="宋体" w:hAnsi="宋体"/>
          <w:sz w:val="22"/>
          <w:szCs w:val="22"/>
        </w:rPr>
        <w:t>法定代表人或其</w:t>
      </w:r>
      <w:r>
        <w:rPr>
          <w:rFonts w:ascii="宋体" w:hAnsi="宋体"/>
          <w:sz w:val="22"/>
          <w:szCs w:val="22"/>
        </w:rPr>
        <w:t xml:space="preserve">                         </w:t>
      </w:r>
      <w:r>
        <w:rPr>
          <w:rFonts w:hint="eastAsia" w:ascii="宋体" w:hAnsi="宋体"/>
          <w:sz w:val="22"/>
          <w:szCs w:val="22"/>
        </w:rPr>
        <w:t>法定代表人或其</w:t>
      </w:r>
    </w:p>
    <w:p>
      <w:pPr>
        <w:spacing w:line="360" w:lineRule="auto"/>
        <w:ind w:firstLine="440" w:firstLineChars="200"/>
        <w:rPr>
          <w:rFonts w:ascii="宋体" w:hAnsi="宋体"/>
          <w:sz w:val="22"/>
          <w:szCs w:val="22"/>
        </w:rPr>
      </w:pPr>
      <w:r>
        <w:rPr>
          <w:rFonts w:hint="eastAsia" w:ascii="宋体" w:hAnsi="宋体"/>
          <w:sz w:val="22"/>
          <w:szCs w:val="22"/>
        </w:rPr>
        <w:t>委托代理人：</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签字或盖章</w:t>
      </w:r>
      <w:r>
        <w:rPr>
          <w:rFonts w:ascii="宋体" w:hAnsi="宋体"/>
          <w:sz w:val="22"/>
          <w:szCs w:val="22"/>
        </w:rPr>
        <w:t xml:space="preserve">)     </w:t>
      </w:r>
      <w:r>
        <w:rPr>
          <w:rFonts w:hint="eastAsia" w:ascii="宋体" w:hAnsi="宋体"/>
          <w:sz w:val="22"/>
          <w:szCs w:val="22"/>
        </w:rPr>
        <w:t>委托代理人：</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签字或盖章</w:t>
      </w:r>
      <w:r>
        <w:rPr>
          <w:rFonts w:ascii="宋体" w:hAnsi="宋体"/>
          <w:sz w:val="22"/>
          <w:szCs w:val="22"/>
        </w:rPr>
        <w:t>)</w:t>
      </w:r>
    </w:p>
    <w:p>
      <w:pPr>
        <w:spacing w:line="360" w:lineRule="auto"/>
        <w:ind w:firstLine="440" w:firstLineChars="200"/>
        <w:rPr>
          <w:rFonts w:ascii="宋体" w:hAnsi="宋体"/>
          <w:sz w:val="22"/>
          <w:szCs w:val="22"/>
        </w:rPr>
      </w:pPr>
      <w:r>
        <w:rPr>
          <w:rFonts w:hint="eastAsia" w:ascii="宋体" w:hAnsi="宋体"/>
          <w:sz w:val="22"/>
          <w:szCs w:val="22"/>
        </w:rPr>
        <w:t>电话：</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电话：</w:t>
      </w:r>
      <w:r>
        <w:rPr>
          <w:rFonts w:ascii="宋体" w:hAnsi="宋体"/>
          <w:sz w:val="22"/>
          <w:szCs w:val="22"/>
          <w:u w:val="single"/>
        </w:rPr>
        <w:t xml:space="preserve">                       </w:t>
      </w:r>
    </w:p>
    <w:p>
      <w:pPr>
        <w:spacing w:line="360" w:lineRule="auto"/>
        <w:ind w:firstLine="440" w:firstLineChars="200"/>
        <w:rPr>
          <w:rFonts w:ascii="宋体" w:hAnsi="宋体"/>
          <w:sz w:val="22"/>
          <w:szCs w:val="22"/>
        </w:rPr>
      </w:pPr>
      <w:r>
        <w:rPr>
          <w:rFonts w:hint="eastAsia" w:ascii="宋体" w:hAnsi="宋体"/>
          <w:sz w:val="22"/>
          <w:szCs w:val="22"/>
        </w:rPr>
        <w:t>传真：</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传真：</w:t>
      </w:r>
      <w:r>
        <w:rPr>
          <w:rFonts w:ascii="宋体" w:hAnsi="宋体"/>
          <w:sz w:val="22"/>
          <w:szCs w:val="22"/>
          <w:u w:val="single"/>
        </w:rPr>
        <w:t xml:space="preserve">                       </w:t>
      </w:r>
    </w:p>
    <w:p>
      <w:pPr>
        <w:spacing w:line="360" w:lineRule="auto"/>
        <w:ind w:firstLine="440" w:firstLineChars="200"/>
        <w:rPr>
          <w:rFonts w:ascii="宋体" w:hAnsi="宋体"/>
          <w:sz w:val="22"/>
          <w:szCs w:val="22"/>
        </w:rPr>
      </w:pPr>
      <w:r>
        <w:rPr>
          <w:rFonts w:hint="eastAsia" w:ascii="宋体" w:hAnsi="宋体"/>
          <w:sz w:val="22"/>
          <w:szCs w:val="22"/>
        </w:rPr>
        <w:t>电子邮箱：</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电子邮箱：</w:t>
      </w:r>
      <w:r>
        <w:rPr>
          <w:rFonts w:ascii="宋体" w:hAnsi="宋体"/>
          <w:sz w:val="22"/>
          <w:szCs w:val="22"/>
          <w:u w:val="single"/>
        </w:rPr>
        <w:t xml:space="preserve">                   </w:t>
      </w:r>
    </w:p>
    <w:p>
      <w:pPr>
        <w:spacing w:line="360" w:lineRule="auto"/>
        <w:ind w:firstLine="440" w:firstLineChars="200"/>
        <w:rPr>
          <w:rFonts w:ascii="宋体" w:hAnsi="宋体"/>
          <w:sz w:val="22"/>
          <w:szCs w:val="22"/>
        </w:rPr>
      </w:pPr>
      <w:r>
        <w:rPr>
          <w:rFonts w:hint="eastAsia" w:ascii="宋体" w:hAnsi="宋体"/>
          <w:sz w:val="22"/>
          <w:szCs w:val="22"/>
        </w:rPr>
        <w:t>开户银行：</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开户银行：</w:t>
      </w:r>
      <w:r>
        <w:rPr>
          <w:rFonts w:ascii="宋体" w:hAnsi="宋体"/>
          <w:sz w:val="22"/>
          <w:szCs w:val="22"/>
          <w:u w:val="single"/>
        </w:rPr>
        <w:t xml:space="preserve">                   </w:t>
      </w:r>
    </w:p>
    <w:p>
      <w:pPr>
        <w:spacing w:line="360" w:lineRule="auto"/>
        <w:ind w:firstLine="440" w:firstLineChars="200"/>
        <w:rPr>
          <w:rFonts w:ascii="宋体" w:hAnsi="宋体"/>
          <w:sz w:val="22"/>
          <w:szCs w:val="22"/>
        </w:rPr>
      </w:pPr>
      <w:r>
        <w:rPr>
          <w:rFonts w:hint="eastAsia" w:ascii="宋体" w:hAnsi="宋体"/>
          <w:sz w:val="22"/>
          <w:szCs w:val="22"/>
        </w:rPr>
        <w:t>账号：</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账号：</w:t>
      </w:r>
      <w:r>
        <w:rPr>
          <w:rFonts w:ascii="宋体" w:hAnsi="宋体"/>
          <w:sz w:val="22"/>
          <w:szCs w:val="22"/>
          <w:u w:val="single"/>
        </w:rPr>
        <w:t xml:space="preserve">                       </w:t>
      </w:r>
    </w:p>
    <w:p>
      <w:pPr>
        <w:spacing w:line="360" w:lineRule="auto"/>
        <w:ind w:firstLine="440" w:firstLineChars="200"/>
        <w:rPr>
          <w:rFonts w:ascii="宋体" w:hAnsi="宋体"/>
          <w:sz w:val="22"/>
          <w:szCs w:val="22"/>
          <w:u w:val="single"/>
        </w:rPr>
      </w:pPr>
      <w:r>
        <w:rPr>
          <w:rFonts w:hint="eastAsia" w:ascii="宋体" w:hAnsi="宋体"/>
          <w:sz w:val="22"/>
          <w:szCs w:val="22"/>
        </w:rPr>
        <w:t>邮政编码：</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邮政编码：</w:t>
      </w:r>
      <w:r>
        <w:rPr>
          <w:rFonts w:ascii="宋体" w:hAnsi="宋体"/>
          <w:sz w:val="22"/>
          <w:szCs w:val="22"/>
          <w:u w:val="single"/>
        </w:rPr>
        <w:t xml:space="preserve">                   </w:t>
      </w:r>
    </w:p>
    <w:p>
      <w:pPr>
        <w:spacing w:line="360" w:lineRule="auto"/>
        <w:ind w:firstLine="440" w:firstLineChars="200"/>
        <w:rPr>
          <w:rFonts w:ascii="宋体" w:hAnsi="宋体"/>
          <w:sz w:val="22"/>
          <w:szCs w:val="22"/>
          <w:u w:val="single"/>
        </w:rPr>
      </w:pPr>
    </w:p>
    <w:p>
      <w:pPr>
        <w:pStyle w:val="9"/>
        <w:rPr>
          <w:sz w:val="22"/>
          <w:szCs w:val="22"/>
        </w:rPr>
      </w:pPr>
      <w:bookmarkStart w:id="511" w:name="_Toc108513780"/>
      <w:bookmarkStart w:id="512" w:name="_Toc199216166"/>
      <w:bookmarkStart w:id="513" w:name="_Toc200005851"/>
      <w:bookmarkStart w:id="514" w:name="_Toc115066569"/>
      <w:bookmarkStart w:id="515" w:name="_Toc177194063"/>
      <w:bookmarkStart w:id="516" w:name="_Toc105820591"/>
      <w:bookmarkStart w:id="517" w:name="_Toc200006096"/>
      <w:bookmarkStart w:id="518" w:name="_Toc117653577"/>
    </w:p>
    <w:p>
      <w:pPr>
        <w:pStyle w:val="9"/>
        <w:rPr>
          <w:sz w:val="22"/>
          <w:szCs w:val="22"/>
        </w:rPr>
      </w:pPr>
    </w:p>
    <w:p>
      <w:pPr>
        <w:pStyle w:val="9"/>
        <w:rPr>
          <w:sz w:val="22"/>
          <w:szCs w:val="22"/>
        </w:rPr>
      </w:pPr>
    </w:p>
    <w:p>
      <w:pPr>
        <w:spacing w:beforeLines="50" w:afterLines="50" w:line="360" w:lineRule="auto"/>
        <w:jc w:val="center"/>
        <w:rPr>
          <w:rFonts w:ascii="宋体" w:hAnsi="宋体" w:cs="仿宋"/>
          <w:b/>
          <w:bCs/>
          <w:sz w:val="22"/>
          <w:szCs w:val="22"/>
        </w:rPr>
      </w:pPr>
      <w:r>
        <w:rPr>
          <w:rFonts w:hint="eastAsia" w:ascii="宋体" w:hAnsi="宋体" w:cs="仿宋"/>
          <w:b/>
          <w:bCs/>
          <w:sz w:val="22"/>
          <w:szCs w:val="22"/>
        </w:rPr>
        <w:t>附件2：安全生产责任协议书格式</w:t>
      </w:r>
    </w:p>
    <w:p>
      <w:pPr>
        <w:spacing w:beforeLines="50" w:afterLines="50" w:line="360" w:lineRule="auto"/>
        <w:jc w:val="center"/>
        <w:rPr>
          <w:rFonts w:ascii="宋体" w:hAnsi="宋体"/>
          <w:sz w:val="22"/>
          <w:szCs w:val="22"/>
        </w:rPr>
      </w:pPr>
      <w:r>
        <w:rPr>
          <w:rFonts w:hint="eastAsia" w:ascii="宋体" w:hAnsi="宋体"/>
          <w:sz w:val="22"/>
          <w:szCs w:val="22"/>
        </w:rPr>
        <w:t>安全生产责任协议书</w:t>
      </w:r>
    </w:p>
    <w:p>
      <w:pPr>
        <w:snapToGrid w:val="0"/>
        <w:spacing w:line="360" w:lineRule="auto"/>
        <w:ind w:firstLine="482"/>
        <w:rPr>
          <w:rFonts w:ascii="宋体" w:hAnsi="宋体"/>
          <w:sz w:val="22"/>
          <w:szCs w:val="22"/>
        </w:rPr>
      </w:pPr>
      <w:r>
        <w:rPr>
          <w:rFonts w:hint="eastAsia" w:ascii="宋体" w:hAnsi="宋体"/>
          <w:sz w:val="22"/>
          <w:szCs w:val="22"/>
        </w:rPr>
        <w:t>为落实安全生产的管理要求，确保工程建设的顺利进行，经甲乙双方共同协商，同意明确如下协议：</w:t>
      </w:r>
      <w:bookmarkEnd w:id="511"/>
      <w:bookmarkEnd w:id="512"/>
      <w:bookmarkEnd w:id="513"/>
      <w:bookmarkEnd w:id="514"/>
      <w:bookmarkEnd w:id="515"/>
      <w:bookmarkEnd w:id="516"/>
      <w:bookmarkEnd w:id="517"/>
      <w:bookmarkEnd w:id="518"/>
    </w:p>
    <w:p>
      <w:pPr>
        <w:snapToGrid w:val="0"/>
        <w:spacing w:line="360" w:lineRule="auto"/>
        <w:ind w:firstLine="482"/>
        <w:rPr>
          <w:rFonts w:ascii="宋体" w:hAnsi="宋体"/>
          <w:sz w:val="22"/>
          <w:szCs w:val="22"/>
        </w:rPr>
      </w:pPr>
      <w:r>
        <w:rPr>
          <w:rFonts w:hint="eastAsia" w:ascii="宋体" w:hAnsi="宋体"/>
          <w:sz w:val="22"/>
          <w:szCs w:val="22"/>
        </w:rPr>
        <w:t>一、发包人在施工开始前向承包人提交必要的施工场地，明确承包人安全生产管理的责任区域和要求，承包人负责施工现场的安全管理工作，是施工现场安全管理的责任单位。承包人必须建立安全生产保证体系，其相关文件报发包人备案。</w:t>
      </w:r>
    </w:p>
    <w:p>
      <w:pPr>
        <w:snapToGrid w:val="0"/>
        <w:spacing w:line="360" w:lineRule="auto"/>
        <w:ind w:firstLine="482"/>
        <w:rPr>
          <w:rFonts w:ascii="宋体" w:hAnsi="宋体"/>
          <w:sz w:val="22"/>
          <w:szCs w:val="22"/>
        </w:rPr>
      </w:pPr>
      <w:r>
        <w:rPr>
          <w:rFonts w:hint="eastAsia" w:ascii="宋体" w:hAnsi="宋体"/>
          <w:sz w:val="22"/>
          <w:szCs w:val="22"/>
        </w:rPr>
        <w:t>二、发包人应积极组织和督促承包人开展安全达标活动，及时传达和部署上级的有关安全生产精神和要求，定期听取承包人的意见和要求，加强安全生产的指导和协调。</w:t>
      </w:r>
    </w:p>
    <w:p>
      <w:pPr>
        <w:snapToGrid w:val="0"/>
        <w:spacing w:line="360" w:lineRule="auto"/>
        <w:ind w:firstLine="482"/>
        <w:rPr>
          <w:rFonts w:ascii="宋体" w:hAnsi="宋体"/>
          <w:sz w:val="22"/>
          <w:szCs w:val="22"/>
        </w:rPr>
      </w:pPr>
      <w:r>
        <w:rPr>
          <w:rFonts w:hint="eastAsia" w:ascii="宋体" w:hAnsi="宋体"/>
          <w:sz w:val="22"/>
          <w:szCs w:val="22"/>
        </w:rPr>
        <w:t>三、发包人负责组织对承包人安全规范作业、文明施工情况的检查，定期组织考核；对承包人及有关人员在安全生产工作中有突出贡献或成绩显著的集体、个人应给予表彰和物资奖励。对承包人及有关人员发生的违章、违法行为和存在的问题以及在安全生产、文明等创优达标活动中不积极配合的，发包人有权制止教育、责成其限期整改，对责任单位每次处罚</w:t>
      </w:r>
      <w:r>
        <w:rPr>
          <w:rFonts w:ascii="宋体" w:hAnsi="宋体"/>
          <w:sz w:val="22"/>
          <w:szCs w:val="22"/>
        </w:rPr>
        <w:t>500</w:t>
      </w:r>
      <w:r>
        <w:rPr>
          <w:rFonts w:hint="eastAsia" w:ascii="宋体" w:hAnsi="宋体"/>
          <w:sz w:val="22"/>
          <w:szCs w:val="22"/>
        </w:rPr>
        <w:t>至</w:t>
      </w:r>
      <w:r>
        <w:rPr>
          <w:rFonts w:ascii="宋体" w:hAnsi="宋体"/>
          <w:sz w:val="22"/>
          <w:szCs w:val="22"/>
        </w:rPr>
        <w:t>5000</w:t>
      </w:r>
      <w:r>
        <w:rPr>
          <w:rFonts w:hint="eastAsia" w:ascii="宋体" w:hAnsi="宋体"/>
          <w:sz w:val="22"/>
          <w:szCs w:val="22"/>
        </w:rPr>
        <w:t>元，对未按要求限期整改的或整改不力、情节严重的，对责任单位每次处罚</w:t>
      </w:r>
      <w:r>
        <w:rPr>
          <w:rFonts w:ascii="宋体" w:hAnsi="宋体"/>
          <w:sz w:val="22"/>
          <w:szCs w:val="22"/>
        </w:rPr>
        <w:t>1</w:t>
      </w:r>
      <w:r>
        <w:rPr>
          <w:rFonts w:hint="eastAsia" w:ascii="宋体" w:hAnsi="宋体"/>
          <w:sz w:val="22"/>
          <w:szCs w:val="22"/>
        </w:rPr>
        <w:t>万至</w:t>
      </w:r>
      <w:r>
        <w:rPr>
          <w:rFonts w:ascii="宋体" w:hAnsi="宋体"/>
          <w:sz w:val="22"/>
          <w:szCs w:val="22"/>
        </w:rPr>
        <w:t>5</w:t>
      </w:r>
      <w:r>
        <w:rPr>
          <w:rFonts w:hint="eastAsia" w:ascii="宋体" w:hAnsi="宋体"/>
          <w:sz w:val="22"/>
          <w:szCs w:val="22"/>
        </w:rPr>
        <w:t>万元。</w:t>
      </w:r>
    </w:p>
    <w:p>
      <w:pPr>
        <w:snapToGrid w:val="0"/>
        <w:spacing w:line="360" w:lineRule="auto"/>
        <w:ind w:firstLine="482"/>
        <w:rPr>
          <w:rFonts w:ascii="宋体" w:hAnsi="宋体"/>
          <w:sz w:val="22"/>
          <w:szCs w:val="22"/>
        </w:rPr>
      </w:pPr>
      <w:r>
        <w:rPr>
          <w:rFonts w:hint="eastAsia" w:ascii="宋体" w:hAnsi="宋体"/>
          <w:sz w:val="22"/>
          <w:szCs w:val="22"/>
        </w:rPr>
        <w:t>四、凡工地内发生生产事故或重大人员伤亡的，发包人派员参与劳动行政部门、司法机关调查处理。发包人可按其造成的后果及影响，对责任单位以按责任违约给予一次性经济处理，责任违约的经济处理按《发包工程安全抵押金实施细则》（见附件）扣除。事故造成的经济损失及因承包人责任给发包人造成的连带经济损失全部由承包人承担。</w:t>
      </w:r>
    </w:p>
    <w:p>
      <w:pPr>
        <w:snapToGrid w:val="0"/>
        <w:spacing w:line="360" w:lineRule="auto"/>
        <w:ind w:firstLine="482"/>
        <w:rPr>
          <w:rFonts w:ascii="宋体" w:hAnsi="宋体"/>
          <w:sz w:val="22"/>
          <w:szCs w:val="22"/>
        </w:rPr>
      </w:pPr>
      <w:r>
        <w:rPr>
          <w:rFonts w:hint="eastAsia" w:ascii="宋体" w:hAnsi="宋体"/>
          <w:sz w:val="22"/>
          <w:szCs w:val="22"/>
        </w:rPr>
        <w:t>五、承包人要严格贯彻执行国家和本市颁发的有关安全生产的法律、法规，严格按照中华人民共和国建设部建标</w:t>
      </w:r>
      <w:r>
        <w:rPr>
          <w:rFonts w:ascii="宋体" w:hAnsi="宋体"/>
          <w:sz w:val="22"/>
          <w:szCs w:val="22"/>
        </w:rPr>
        <w:t>(99)79</w:t>
      </w:r>
      <w:r>
        <w:rPr>
          <w:rFonts w:hint="eastAsia" w:ascii="宋体" w:hAnsi="宋体"/>
          <w:sz w:val="22"/>
          <w:szCs w:val="22"/>
        </w:rPr>
        <w:t>号</w:t>
      </w:r>
      <w:r>
        <w:rPr>
          <w:rFonts w:ascii="宋体" w:hAnsi="宋体"/>
          <w:sz w:val="22"/>
          <w:szCs w:val="22"/>
        </w:rPr>
        <w:t>“</w:t>
      </w:r>
      <w:r>
        <w:rPr>
          <w:rFonts w:hint="eastAsia" w:ascii="宋体" w:hAnsi="宋体"/>
          <w:sz w:val="22"/>
          <w:szCs w:val="22"/>
        </w:rPr>
        <w:t>关于发布行业标准《建筑施工安全检查标准》的通知</w:t>
      </w:r>
      <w:r>
        <w:rPr>
          <w:rFonts w:ascii="宋体" w:hAnsi="宋体"/>
          <w:sz w:val="22"/>
          <w:szCs w:val="22"/>
        </w:rPr>
        <w:t>”(</w:t>
      </w:r>
      <w:r>
        <w:rPr>
          <w:rFonts w:hint="eastAsia" w:ascii="宋体" w:hAnsi="宋体"/>
          <w:sz w:val="22"/>
          <w:szCs w:val="22"/>
        </w:rPr>
        <w:t>编号</w:t>
      </w:r>
      <w:r>
        <w:rPr>
          <w:rFonts w:ascii="宋体" w:hAnsi="宋体"/>
          <w:sz w:val="22"/>
          <w:szCs w:val="22"/>
        </w:rPr>
        <w:t>JGJ59——99)</w:t>
      </w:r>
      <w:r>
        <w:rPr>
          <w:rFonts w:hint="eastAsia" w:ascii="宋体" w:hAnsi="宋体"/>
          <w:sz w:val="22"/>
          <w:szCs w:val="22"/>
        </w:rPr>
        <w:t>的要求加强内部安全管理，落实各项安全防护措施，确保工程建设中不发生重大伤亡事故。</w:t>
      </w:r>
    </w:p>
    <w:p>
      <w:pPr>
        <w:snapToGrid w:val="0"/>
        <w:spacing w:line="360" w:lineRule="auto"/>
        <w:ind w:firstLine="482"/>
        <w:rPr>
          <w:rFonts w:ascii="宋体" w:hAnsi="宋体"/>
          <w:sz w:val="22"/>
          <w:szCs w:val="22"/>
        </w:rPr>
      </w:pPr>
      <w:r>
        <w:rPr>
          <w:rFonts w:hint="eastAsia" w:ascii="宋体" w:hAnsi="宋体"/>
          <w:sz w:val="22"/>
          <w:szCs w:val="22"/>
        </w:rPr>
        <w:t>六、承包人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深基坑开挖必须按科技委审查批准的方案实施。</w:t>
      </w:r>
    </w:p>
    <w:p>
      <w:pPr>
        <w:snapToGrid w:val="0"/>
        <w:spacing w:line="360" w:lineRule="auto"/>
        <w:ind w:firstLine="482"/>
        <w:rPr>
          <w:rFonts w:ascii="宋体" w:hAnsi="宋体"/>
          <w:sz w:val="22"/>
          <w:szCs w:val="22"/>
        </w:rPr>
      </w:pPr>
      <w:r>
        <w:rPr>
          <w:rFonts w:hint="eastAsia" w:ascii="宋体" w:hAnsi="宋体"/>
          <w:sz w:val="22"/>
          <w:szCs w:val="22"/>
        </w:rPr>
        <w:t>七、承包人进入工地后应明确落实施工现场安全生产第一责任人，根据建设部办公厅</w:t>
      </w:r>
      <w:r>
        <w:rPr>
          <w:rFonts w:ascii="宋体" w:hAnsi="宋体"/>
          <w:sz w:val="22"/>
          <w:szCs w:val="22"/>
        </w:rPr>
        <w:t>2000</w:t>
      </w:r>
      <w:r>
        <w:rPr>
          <w:rFonts w:hint="eastAsia" w:ascii="宋体" w:hAnsi="宋体"/>
          <w:sz w:val="22"/>
          <w:szCs w:val="22"/>
        </w:rPr>
        <w:t>年</w:t>
      </w:r>
      <w:r>
        <w:rPr>
          <w:rFonts w:ascii="宋体" w:hAnsi="宋体"/>
          <w:sz w:val="22"/>
          <w:szCs w:val="22"/>
        </w:rPr>
        <w:t>10</w:t>
      </w:r>
      <w:r>
        <w:rPr>
          <w:rFonts w:hint="eastAsia" w:ascii="宋体" w:hAnsi="宋体"/>
          <w:sz w:val="22"/>
          <w:szCs w:val="22"/>
        </w:rPr>
        <w:t>号文件要求配置专职安全管理人员。即施工人员超过</w:t>
      </w:r>
      <w:r>
        <w:rPr>
          <w:rFonts w:ascii="宋体" w:hAnsi="宋体"/>
          <w:sz w:val="22"/>
          <w:szCs w:val="22"/>
        </w:rPr>
        <w:t>50</w:t>
      </w:r>
      <w:r>
        <w:rPr>
          <w:rFonts w:hint="eastAsia" w:ascii="宋体" w:hAnsi="宋体"/>
          <w:sz w:val="22"/>
          <w:szCs w:val="22"/>
        </w:rPr>
        <w:t>人的工地必须配置专职安全管理人员；工程造价在</w:t>
      </w:r>
      <w:r>
        <w:rPr>
          <w:rFonts w:ascii="宋体" w:hAnsi="宋体"/>
          <w:sz w:val="22"/>
          <w:szCs w:val="22"/>
        </w:rPr>
        <w:t>1000</w:t>
      </w:r>
      <w:r>
        <w:rPr>
          <w:rFonts w:hint="eastAsia" w:ascii="宋体" w:hAnsi="宋体"/>
          <w:sz w:val="22"/>
          <w:szCs w:val="22"/>
        </w:rPr>
        <w:t>万元以上的工地，必须配置</w:t>
      </w:r>
      <w:r>
        <w:rPr>
          <w:rFonts w:ascii="宋体" w:hAnsi="宋体"/>
          <w:sz w:val="22"/>
          <w:szCs w:val="22"/>
        </w:rPr>
        <w:t>2</w:t>
      </w:r>
      <w:r>
        <w:rPr>
          <w:rFonts w:hint="eastAsia" w:ascii="宋体" w:hAnsi="宋体"/>
          <w:sz w:val="22"/>
          <w:szCs w:val="22"/>
        </w:rPr>
        <w:t>至</w:t>
      </w:r>
      <w:r>
        <w:rPr>
          <w:rFonts w:ascii="宋体" w:hAnsi="宋体"/>
          <w:sz w:val="22"/>
          <w:szCs w:val="22"/>
        </w:rPr>
        <w:t>3</w:t>
      </w:r>
      <w:r>
        <w:rPr>
          <w:rFonts w:hint="eastAsia" w:ascii="宋体" w:hAnsi="宋体"/>
          <w:sz w:val="22"/>
          <w:szCs w:val="22"/>
        </w:rPr>
        <w:t>名管理安全生产工作人员；工程造价在</w:t>
      </w:r>
      <w:r>
        <w:rPr>
          <w:rFonts w:ascii="宋体" w:hAnsi="宋体"/>
          <w:sz w:val="22"/>
          <w:szCs w:val="22"/>
        </w:rPr>
        <w:t>5000</w:t>
      </w:r>
      <w:r>
        <w:rPr>
          <w:rFonts w:hint="eastAsia" w:ascii="宋体" w:hAnsi="宋体"/>
          <w:sz w:val="22"/>
          <w:szCs w:val="22"/>
        </w:rPr>
        <w:t>万元以上的工地，要按专业设置专职安全员，组成安全管理组负责工地的安全生产管理工作。并将名单报发包人备案。承包人要建立健全安全生产保证体系，落实各级安全责任制，完善各项安全生产制度</w:t>
      </w:r>
      <w:r>
        <w:rPr>
          <w:rFonts w:ascii="宋体" w:hAnsi="宋体"/>
          <w:sz w:val="22"/>
          <w:szCs w:val="22"/>
        </w:rPr>
        <w:t>(</w:t>
      </w:r>
      <w:r>
        <w:rPr>
          <w:rFonts w:hint="eastAsia" w:ascii="宋体" w:hAnsi="宋体"/>
          <w:sz w:val="22"/>
          <w:szCs w:val="22"/>
        </w:rPr>
        <w:t>包括奖惩制度</w:t>
      </w:r>
      <w:r>
        <w:rPr>
          <w:rFonts w:ascii="宋体" w:hAnsi="宋体"/>
          <w:sz w:val="22"/>
          <w:szCs w:val="22"/>
        </w:rPr>
        <w:t>)</w:t>
      </w:r>
      <w:r>
        <w:rPr>
          <w:rFonts w:hint="eastAsia" w:ascii="宋体" w:hAnsi="宋体"/>
          <w:sz w:val="22"/>
          <w:szCs w:val="22"/>
        </w:rPr>
        <w:t>，按照</w:t>
      </w:r>
      <w:r>
        <w:rPr>
          <w:rFonts w:ascii="宋体" w:hAnsi="宋体"/>
          <w:sz w:val="22"/>
          <w:szCs w:val="22"/>
        </w:rPr>
        <w:t>“</w:t>
      </w:r>
      <w:r>
        <w:rPr>
          <w:rFonts w:hint="eastAsia" w:ascii="宋体" w:hAnsi="宋体"/>
          <w:sz w:val="22"/>
          <w:szCs w:val="22"/>
        </w:rPr>
        <w:t>谁施工谁负责</w:t>
      </w:r>
      <w:r>
        <w:rPr>
          <w:rFonts w:ascii="宋体" w:hAnsi="宋体"/>
          <w:sz w:val="22"/>
          <w:szCs w:val="22"/>
        </w:rPr>
        <w:t>”</w:t>
      </w:r>
      <w:r>
        <w:rPr>
          <w:rFonts w:hint="eastAsia" w:ascii="宋体" w:hAnsi="宋体"/>
          <w:sz w:val="22"/>
          <w:szCs w:val="22"/>
        </w:rPr>
        <w:t>的原则，负责单位内部和施工责任区域的安全生产管理工作。</w:t>
      </w:r>
    </w:p>
    <w:p>
      <w:pPr>
        <w:snapToGrid w:val="0"/>
        <w:spacing w:line="360" w:lineRule="auto"/>
        <w:ind w:firstLine="482"/>
        <w:rPr>
          <w:rFonts w:ascii="宋体" w:hAnsi="宋体"/>
          <w:sz w:val="22"/>
          <w:szCs w:val="22"/>
        </w:rPr>
      </w:pPr>
      <w:r>
        <w:rPr>
          <w:rFonts w:hint="eastAsia" w:ascii="宋体" w:hAnsi="宋体"/>
          <w:sz w:val="22"/>
          <w:szCs w:val="22"/>
        </w:rPr>
        <w:t>八、承包人对各分包单位及外聘人员的安全生产工作要纳入本单位统一管理的范围，明确要求，签订管理协议；要加强对全体施工人员安全作业、文明施工和自我保护的宣传教育；做好上岗前的安全培训，特殊工种作业人员必须做到持证上岗；进入本市施工的外省市特殊作业人员，还必须经本市有关特种作业考核站进行审证教育，禁止实习、学习人员现场作业。严格执行各种安全操作规程，确保施工安全。</w:t>
      </w:r>
    </w:p>
    <w:p>
      <w:pPr>
        <w:snapToGrid w:val="0"/>
        <w:spacing w:line="360" w:lineRule="auto"/>
        <w:ind w:firstLine="482"/>
        <w:rPr>
          <w:rFonts w:ascii="宋体" w:hAnsi="宋体"/>
          <w:sz w:val="22"/>
          <w:szCs w:val="22"/>
        </w:rPr>
      </w:pPr>
      <w:r>
        <w:rPr>
          <w:rFonts w:hint="eastAsia" w:ascii="宋体" w:hAnsi="宋体"/>
          <w:sz w:val="22"/>
          <w:szCs w:val="22"/>
        </w:rPr>
        <w:t>九、承包人要按照</w:t>
      </w:r>
      <w:r>
        <w:rPr>
          <w:rFonts w:ascii="宋体" w:hAnsi="宋体"/>
          <w:sz w:val="22"/>
          <w:szCs w:val="22"/>
        </w:rPr>
        <w:t>“</w:t>
      </w:r>
      <w:r>
        <w:rPr>
          <w:rFonts w:hint="eastAsia" w:ascii="宋体" w:hAnsi="宋体"/>
          <w:sz w:val="22"/>
          <w:szCs w:val="22"/>
        </w:rPr>
        <w:t>安全自查，隐患自改、责任自负</w:t>
      </w:r>
      <w:r>
        <w:rPr>
          <w:rFonts w:ascii="宋体" w:hAnsi="宋体"/>
          <w:sz w:val="22"/>
          <w:szCs w:val="22"/>
        </w:rPr>
        <w:t>”</w:t>
      </w:r>
      <w:r>
        <w:rPr>
          <w:rFonts w:hint="eastAsia" w:ascii="宋体" w:hAnsi="宋体"/>
          <w:sz w:val="22"/>
          <w:szCs w:val="22"/>
        </w:rPr>
        <w:t>的原则加强对施工责任区的日常安全检查，及时制止和处理各类违章违法行为，对查获的隐患要及时落实整改措施，消除隐患。</w:t>
      </w:r>
    </w:p>
    <w:p>
      <w:pPr>
        <w:snapToGrid w:val="0"/>
        <w:spacing w:line="360" w:lineRule="auto"/>
        <w:ind w:firstLine="482"/>
        <w:rPr>
          <w:rFonts w:ascii="宋体" w:hAnsi="宋体"/>
          <w:sz w:val="22"/>
          <w:szCs w:val="22"/>
        </w:rPr>
      </w:pPr>
      <w:r>
        <w:rPr>
          <w:rFonts w:hint="eastAsia" w:ascii="宋体" w:hAnsi="宋体"/>
          <w:sz w:val="22"/>
          <w:szCs w:val="22"/>
        </w:rPr>
        <w:t>十、承包人应主动接受发包人在安全生产工作上的业务指导，检查和督促，服从管理，对发包人的工作布置和组织的活动要积极贯彻实施和参加，对发包人给予因责任违约的经济处理如有异议可要求复核，对发包人工作人员利用职权营私舞弊、有意刁难的违法行为，有权检举揭发，要求处理。</w:t>
      </w:r>
    </w:p>
    <w:p>
      <w:pPr>
        <w:snapToGrid w:val="0"/>
        <w:spacing w:line="360" w:lineRule="auto"/>
        <w:ind w:firstLine="482"/>
        <w:rPr>
          <w:rFonts w:ascii="宋体" w:hAnsi="宋体"/>
          <w:sz w:val="22"/>
          <w:szCs w:val="22"/>
        </w:rPr>
      </w:pPr>
      <w:r>
        <w:rPr>
          <w:rFonts w:hint="eastAsia" w:ascii="宋体" w:hAnsi="宋体"/>
          <w:sz w:val="22"/>
          <w:szCs w:val="22"/>
        </w:rPr>
        <w:t>十一、承包人因疏于管理违章违法作业发生安全事故或造成人员伤亡的，应在积极抢救受伤人员、保护现场的同时，严格按安全事故上报的规定时限向发包人和当地劳动行政部门汇报，不得迟报瞒报。</w:t>
      </w:r>
    </w:p>
    <w:p>
      <w:pPr>
        <w:snapToGrid w:val="0"/>
        <w:spacing w:line="360" w:lineRule="auto"/>
        <w:ind w:firstLine="482"/>
        <w:rPr>
          <w:rFonts w:ascii="宋体" w:hAnsi="宋体"/>
          <w:sz w:val="22"/>
          <w:szCs w:val="22"/>
        </w:rPr>
      </w:pPr>
      <w:r>
        <w:rPr>
          <w:rFonts w:hint="eastAsia" w:ascii="宋体" w:hAnsi="宋体"/>
          <w:sz w:val="22"/>
          <w:szCs w:val="22"/>
        </w:rPr>
        <w:t>十二、本协议中未涉及的有关条款，甲乙双方可根据需要协商补充修改。如遇有国家和本市的有关法规不符的，应按国家和本市的有关法规执行。</w:t>
      </w:r>
    </w:p>
    <w:p>
      <w:pPr>
        <w:snapToGrid w:val="0"/>
        <w:spacing w:line="360" w:lineRule="auto"/>
        <w:ind w:firstLine="482"/>
        <w:rPr>
          <w:rFonts w:ascii="宋体" w:hAnsi="宋体"/>
          <w:sz w:val="22"/>
          <w:szCs w:val="22"/>
        </w:rPr>
      </w:pPr>
      <w:r>
        <w:rPr>
          <w:rFonts w:hint="eastAsia" w:ascii="宋体" w:hAnsi="宋体"/>
          <w:sz w:val="22"/>
          <w:szCs w:val="22"/>
        </w:rPr>
        <w:t>十三、承包方应该接受发包方安保部门的监督、检查和指导，积极落实发包方安保部门发出的整改指令。</w:t>
      </w:r>
    </w:p>
    <w:p>
      <w:pPr>
        <w:snapToGrid w:val="0"/>
        <w:spacing w:line="360" w:lineRule="auto"/>
        <w:ind w:firstLine="482"/>
        <w:rPr>
          <w:rFonts w:ascii="宋体" w:hAnsi="宋体"/>
          <w:sz w:val="22"/>
          <w:szCs w:val="22"/>
        </w:rPr>
      </w:pPr>
      <w:r>
        <w:rPr>
          <w:rFonts w:hint="eastAsia" w:ascii="宋体" w:hAnsi="宋体"/>
          <w:sz w:val="22"/>
          <w:szCs w:val="22"/>
        </w:rPr>
        <w:t>十四、本协议作为甲乙双方工程合同的附件，在工程合同签约后生效，与工程合同具有同等法律效力。工程合同期满，本协议终止。</w:t>
      </w:r>
    </w:p>
    <w:p>
      <w:pPr>
        <w:snapToGrid w:val="0"/>
        <w:spacing w:line="360" w:lineRule="auto"/>
        <w:ind w:firstLine="482"/>
        <w:rPr>
          <w:rFonts w:ascii="宋体" w:hAnsi="宋体"/>
          <w:sz w:val="22"/>
          <w:szCs w:val="22"/>
        </w:rPr>
      </w:pPr>
    </w:p>
    <w:p>
      <w:pPr>
        <w:snapToGrid w:val="0"/>
        <w:spacing w:line="360" w:lineRule="auto"/>
        <w:ind w:firstLine="482"/>
        <w:rPr>
          <w:rFonts w:ascii="宋体" w:hAnsi="宋体"/>
          <w:sz w:val="22"/>
          <w:szCs w:val="22"/>
        </w:rPr>
      </w:pPr>
    </w:p>
    <w:p>
      <w:pPr>
        <w:snapToGrid w:val="0"/>
        <w:spacing w:line="360" w:lineRule="auto"/>
        <w:ind w:firstLine="482"/>
        <w:rPr>
          <w:rFonts w:ascii="宋体" w:hAnsi="宋体"/>
          <w:sz w:val="22"/>
          <w:szCs w:val="22"/>
        </w:rPr>
      </w:pPr>
      <w:r>
        <w:rPr>
          <w:rFonts w:hint="eastAsia" w:ascii="宋体" w:hAnsi="宋体"/>
          <w:sz w:val="22"/>
          <w:szCs w:val="22"/>
        </w:rPr>
        <w:t>发包人：（单位公章）</w:t>
      </w:r>
      <w:r>
        <w:rPr>
          <w:rFonts w:ascii="宋体" w:hAnsi="宋体"/>
          <w:sz w:val="22"/>
          <w:szCs w:val="22"/>
        </w:rPr>
        <w:t xml:space="preserve">                 </w:t>
      </w:r>
      <w:r>
        <w:rPr>
          <w:rFonts w:hint="eastAsia" w:ascii="宋体" w:hAnsi="宋体"/>
          <w:sz w:val="22"/>
          <w:szCs w:val="22"/>
        </w:rPr>
        <w:t>承包人：（单位公章）</w:t>
      </w:r>
    </w:p>
    <w:p>
      <w:pPr>
        <w:snapToGrid w:val="0"/>
        <w:spacing w:line="360" w:lineRule="auto"/>
        <w:ind w:firstLine="482"/>
        <w:rPr>
          <w:rFonts w:ascii="宋体" w:hAnsi="宋体"/>
          <w:sz w:val="22"/>
          <w:szCs w:val="22"/>
        </w:rPr>
      </w:pPr>
    </w:p>
    <w:p>
      <w:pPr>
        <w:snapToGrid w:val="0"/>
        <w:spacing w:line="360" w:lineRule="auto"/>
        <w:ind w:firstLine="482"/>
        <w:rPr>
          <w:rFonts w:ascii="宋体" w:hAnsi="宋体"/>
          <w:sz w:val="22"/>
          <w:szCs w:val="22"/>
        </w:rPr>
      </w:pPr>
      <w:r>
        <w:rPr>
          <w:rFonts w:hint="eastAsia" w:ascii="宋体" w:hAnsi="宋体"/>
          <w:sz w:val="22"/>
          <w:szCs w:val="22"/>
        </w:rPr>
        <w:t>法定代表人：</w:t>
      </w:r>
      <w:r>
        <w:rPr>
          <w:rFonts w:ascii="宋体" w:hAnsi="宋体"/>
          <w:sz w:val="22"/>
          <w:szCs w:val="22"/>
        </w:rPr>
        <w:t xml:space="preserve">                        </w:t>
      </w:r>
      <w:r>
        <w:rPr>
          <w:rFonts w:hint="eastAsia" w:ascii="宋体" w:hAnsi="宋体"/>
          <w:sz w:val="22"/>
          <w:szCs w:val="22"/>
        </w:rPr>
        <w:t>法定代表人：</w:t>
      </w:r>
    </w:p>
    <w:p>
      <w:pPr>
        <w:snapToGrid w:val="0"/>
        <w:spacing w:line="360" w:lineRule="auto"/>
        <w:ind w:firstLine="482"/>
        <w:rPr>
          <w:rFonts w:ascii="宋体" w:hAnsi="宋体"/>
          <w:sz w:val="22"/>
          <w:szCs w:val="22"/>
        </w:rPr>
      </w:pPr>
    </w:p>
    <w:p>
      <w:pPr>
        <w:snapToGrid w:val="0"/>
        <w:spacing w:line="360" w:lineRule="auto"/>
        <w:ind w:firstLine="480"/>
        <w:rPr>
          <w:rFonts w:ascii="宋体" w:hAnsi="宋体"/>
          <w:sz w:val="22"/>
          <w:szCs w:val="22"/>
        </w:rPr>
      </w:pPr>
      <w:r>
        <w:rPr>
          <w:rFonts w:hint="eastAsia" w:ascii="宋体" w:hAnsi="宋体"/>
          <w:sz w:val="22"/>
          <w:szCs w:val="22"/>
        </w:rPr>
        <w:t>地址：</w:t>
      </w:r>
      <w:r>
        <w:rPr>
          <w:rFonts w:ascii="宋体" w:hAnsi="宋体"/>
          <w:sz w:val="22"/>
          <w:szCs w:val="22"/>
        </w:rPr>
        <w:t xml:space="preserve">                              </w:t>
      </w:r>
      <w:r>
        <w:rPr>
          <w:rFonts w:hint="eastAsia" w:ascii="宋体" w:hAnsi="宋体"/>
          <w:sz w:val="22"/>
          <w:szCs w:val="22"/>
        </w:rPr>
        <w:t>地址：</w:t>
      </w:r>
    </w:p>
    <w:p>
      <w:pPr>
        <w:snapToGrid w:val="0"/>
        <w:spacing w:line="360" w:lineRule="auto"/>
        <w:ind w:firstLine="480"/>
        <w:rPr>
          <w:rFonts w:ascii="宋体" w:hAnsi="宋体"/>
          <w:sz w:val="22"/>
          <w:szCs w:val="22"/>
        </w:rPr>
      </w:pPr>
    </w:p>
    <w:p>
      <w:pPr>
        <w:snapToGrid w:val="0"/>
        <w:spacing w:line="360" w:lineRule="auto"/>
        <w:ind w:firstLine="480"/>
        <w:rPr>
          <w:rFonts w:ascii="宋体" w:hAnsi="宋体"/>
          <w:sz w:val="22"/>
          <w:szCs w:val="22"/>
        </w:rPr>
      </w:pPr>
      <w:r>
        <w:rPr>
          <w:rFonts w:hint="eastAsia" w:ascii="宋体" w:hAnsi="宋体"/>
          <w:sz w:val="22"/>
          <w:szCs w:val="22"/>
        </w:rPr>
        <w:t>电话：</w:t>
      </w:r>
      <w:r>
        <w:rPr>
          <w:rFonts w:ascii="宋体" w:hAnsi="宋体"/>
          <w:sz w:val="22"/>
          <w:szCs w:val="22"/>
        </w:rPr>
        <w:t xml:space="preserve">                              </w:t>
      </w:r>
      <w:r>
        <w:rPr>
          <w:rFonts w:hint="eastAsia" w:ascii="宋体" w:hAnsi="宋体"/>
          <w:sz w:val="22"/>
          <w:szCs w:val="22"/>
        </w:rPr>
        <w:t>电话：</w:t>
      </w:r>
    </w:p>
    <w:p>
      <w:pPr>
        <w:snapToGrid w:val="0"/>
        <w:spacing w:line="360" w:lineRule="auto"/>
        <w:ind w:firstLine="482"/>
        <w:rPr>
          <w:rFonts w:ascii="宋体" w:hAnsi="宋体"/>
          <w:sz w:val="22"/>
          <w:szCs w:val="22"/>
        </w:rPr>
      </w:pPr>
    </w:p>
    <w:p>
      <w:pPr>
        <w:snapToGrid w:val="0"/>
        <w:spacing w:line="360" w:lineRule="auto"/>
        <w:ind w:firstLine="482"/>
        <w:rPr>
          <w:rFonts w:ascii="宋体" w:hAnsi="宋体"/>
          <w:sz w:val="22"/>
          <w:szCs w:val="22"/>
        </w:rPr>
      </w:pPr>
      <w:r>
        <w:rPr>
          <w:rFonts w:hint="eastAsia" w:ascii="宋体" w:hAnsi="宋体"/>
          <w:sz w:val="22"/>
          <w:szCs w:val="22"/>
        </w:rPr>
        <w:t>签约日期：</w:t>
      </w:r>
    </w:p>
    <w:p>
      <w:pPr>
        <w:pStyle w:val="9"/>
        <w:rPr>
          <w:rFonts w:ascii="宋体" w:hAnsi="宋体"/>
          <w:sz w:val="22"/>
          <w:szCs w:val="22"/>
        </w:rPr>
      </w:pPr>
    </w:p>
    <w:p>
      <w:pPr>
        <w:spacing w:beforeLines="50" w:afterLines="50" w:line="360" w:lineRule="auto"/>
        <w:jc w:val="center"/>
        <w:rPr>
          <w:rFonts w:ascii="宋体" w:hAnsi="宋体" w:cs="仿宋"/>
          <w:b/>
          <w:bCs/>
          <w:sz w:val="22"/>
          <w:szCs w:val="22"/>
        </w:rPr>
      </w:pPr>
      <w:r>
        <w:rPr>
          <w:rFonts w:hint="eastAsia" w:ascii="宋体" w:hAnsi="宋体" w:cs="仿宋"/>
          <w:b/>
          <w:bCs/>
          <w:sz w:val="22"/>
          <w:szCs w:val="22"/>
        </w:rPr>
        <w:t>附件3：文明施工责任协议书格式</w:t>
      </w:r>
    </w:p>
    <w:p>
      <w:pPr>
        <w:spacing w:beforeLines="50" w:afterLines="50" w:line="360" w:lineRule="auto"/>
        <w:jc w:val="center"/>
        <w:rPr>
          <w:rFonts w:ascii="宋体" w:hAnsi="宋体"/>
          <w:sz w:val="22"/>
          <w:szCs w:val="22"/>
        </w:rPr>
      </w:pPr>
      <w:r>
        <w:rPr>
          <w:rFonts w:hint="eastAsia" w:ascii="宋体" w:hAnsi="宋体"/>
          <w:sz w:val="22"/>
          <w:szCs w:val="22"/>
        </w:rPr>
        <w:t>文明施工责任协议书</w:t>
      </w:r>
    </w:p>
    <w:p>
      <w:pPr>
        <w:spacing w:after="120" w:line="360" w:lineRule="auto"/>
        <w:ind w:firstLine="440" w:firstLineChars="200"/>
        <w:rPr>
          <w:rFonts w:ascii="宋体" w:hAnsi="宋体"/>
          <w:sz w:val="22"/>
          <w:szCs w:val="22"/>
        </w:rPr>
      </w:pPr>
      <w:r>
        <w:rPr>
          <w:rFonts w:hint="eastAsia" w:ascii="宋体" w:hAnsi="宋体"/>
          <w:sz w:val="22"/>
          <w:szCs w:val="22"/>
        </w:rPr>
        <w:t>为贯彻执行建设部《建设工程施工现场管理规定》和《上海市建设工程文明施工管理暂行规定》，认真做好工程建设施工区域内的文明施工，现经甲、乙双方协商同意，明确在文明施工和文明施工管理中的各自职责，并签订如下协议。</w:t>
      </w:r>
    </w:p>
    <w:p>
      <w:pPr>
        <w:snapToGrid w:val="0"/>
        <w:spacing w:line="360" w:lineRule="auto"/>
        <w:ind w:firstLine="480"/>
        <w:rPr>
          <w:rFonts w:ascii="宋体" w:hAnsi="宋体"/>
          <w:sz w:val="22"/>
          <w:szCs w:val="22"/>
        </w:rPr>
      </w:pPr>
      <w:r>
        <w:rPr>
          <w:rFonts w:hint="eastAsia" w:ascii="宋体" w:hAnsi="宋体"/>
          <w:sz w:val="22"/>
          <w:szCs w:val="22"/>
        </w:rPr>
        <w:t>一、</w:t>
      </w:r>
      <w:r>
        <w:rPr>
          <w:rFonts w:ascii="宋体" w:hAnsi="宋体"/>
          <w:sz w:val="22"/>
          <w:szCs w:val="22"/>
        </w:rPr>
        <w:t xml:space="preserve"> </w:t>
      </w:r>
      <w:r>
        <w:rPr>
          <w:rFonts w:hint="eastAsia" w:ascii="宋体" w:hAnsi="宋体"/>
          <w:sz w:val="22"/>
          <w:szCs w:val="22"/>
        </w:rPr>
        <w:t>双方同意在工程管理和工程建设中必须坚持社会效益第一，经济效益和社会效益相一致“方便人民生活，有利于发展生产、保护生态环境”的原则，坚持便民、利民、为民服务的宗旨。搞好工程建设中的文明施工。</w:t>
      </w:r>
    </w:p>
    <w:p>
      <w:pPr>
        <w:snapToGrid w:val="0"/>
        <w:spacing w:line="360" w:lineRule="auto"/>
        <w:ind w:firstLine="480"/>
        <w:rPr>
          <w:rFonts w:ascii="宋体" w:hAnsi="宋体"/>
          <w:sz w:val="22"/>
          <w:szCs w:val="22"/>
        </w:rPr>
      </w:pPr>
      <w:r>
        <w:rPr>
          <w:rFonts w:hint="eastAsia" w:ascii="宋体" w:hAnsi="宋体"/>
          <w:sz w:val="22"/>
          <w:szCs w:val="22"/>
        </w:rPr>
        <w:t>二、</w:t>
      </w:r>
      <w:r>
        <w:rPr>
          <w:rFonts w:ascii="宋体" w:hAnsi="宋体"/>
          <w:sz w:val="22"/>
          <w:szCs w:val="22"/>
        </w:rPr>
        <w:t xml:space="preserve"> </w:t>
      </w:r>
      <w:r>
        <w:rPr>
          <w:rFonts w:hint="eastAsia" w:ascii="宋体" w:hAnsi="宋体"/>
          <w:sz w:val="22"/>
          <w:szCs w:val="22"/>
        </w:rPr>
        <w:t>双方要认真贯彻“发包人负责，施工单位实施，地方政府监督”的文明施工原则。现场由发包人项目管理组牵头，建立三方共同参与的文明施工管理小组，负责日常管理协调工作，争创文明工地。发包人按市有关创建文明工地的规定，组织、指导、检查、考核、和开展选评工作，创建活动的实施由承包人负责。</w:t>
      </w:r>
    </w:p>
    <w:p>
      <w:pPr>
        <w:snapToGrid w:val="0"/>
        <w:spacing w:line="360" w:lineRule="auto"/>
        <w:ind w:firstLine="480"/>
        <w:rPr>
          <w:rFonts w:ascii="宋体" w:hAnsi="宋体"/>
          <w:sz w:val="22"/>
          <w:szCs w:val="22"/>
        </w:rPr>
      </w:pPr>
      <w:r>
        <w:rPr>
          <w:rFonts w:hint="eastAsia" w:ascii="宋体" w:hAnsi="宋体"/>
          <w:sz w:val="22"/>
          <w:szCs w:val="22"/>
        </w:rPr>
        <w:t>三、</w:t>
      </w:r>
      <w:r>
        <w:rPr>
          <w:rFonts w:ascii="宋体" w:hAnsi="宋体"/>
          <w:sz w:val="22"/>
          <w:szCs w:val="22"/>
        </w:rPr>
        <w:t xml:space="preserve"> </w:t>
      </w:r>
      <w:r>
        <w:rPr>
          <w:rFonts w:hint="eastAsia" w:ascii="宋体" w:hAnsi="宋体"/>
          <w:sz w:val="22"/>
          <w:szCs w:val="22"/>
        </w:rPr>
        <w:t>承包人在其施工大纲中应结合工程实际情况，制订出各项文明施工措施，并落实如下有关要求：</w:t>
      </w:r>
    </w:p>
    <w:p>
      <w:pPr>
        <w:snapToGrid w:val="0"/>
        <w:spacing w:line="360" w:lineRule="auto"/>
        <w:ind w:firstLine="480"/>
        <w:rPr>
          <w:rFonts w:ascii="宋体" w:hAnsi="宋体"/>
          <w:sz w:val="22"/>
          <w:szCs w:val="22"/>
        </w:rPr>
      </w:pPr>
      <w:r>
        <w:rPr>
          <w:rFonts w:ascii="宋体" w:hAnsi="宋体"/>
          <w:sz w:val="22"/>
          <w:szCs w:val="22"/>
        </w:rPr>
        <w:t>1</w:t>
      </w:r>
      <w:r>
        <w:rPr>
          <w:rFonts w:hint="eastAsia" w:ascii="宋体" w:hAnsi="宋体"/>
          <w:sz w:val="22"/>
          <w:szCs w:val="22"/>
        </w:rPr>
        <w:t>、施工现场必须按规定要求设置施工铭牌，所有施工管理、作业人员应配带胸卡上岗。</w:t>
      </w:r>
    </w:p>
    <w:p>
      <w:pPr>
        <w:snapToGrid w:val="0"/>
        <w:spacing w:line="360" w:lineRule="auto"/>
        <w:ind w:firstLine="480"/>
        <w:rPr>
          <w:rFonts w:ascii="宋体" w:hAnsi="宋体"/>
          <w:sz w:val="22"/>
          <w:szCs w:val="22"/>
        </w:rPr>
      </w:pPr>
      <w:r>
        <w:rPr>
          <w:rFonts w:ascii="宋体" w:hAnsi="宋体"/>
          <w:sz w:val="22"/>
          <w:szCs w:val="22"/>
        </w:rPr>
        <w:t>2</w:t>
      </w:r>
      <w:r>
        <w:rPr>
          <w:rFonts w:hint="eastAsia" w:ascii="宋体" w:hAnsi="宋体"/>
          <w:sz w:val="22"/>
          <w:szCs w:val="22"/>
        </w:rPr>
        <w:t>、施工区域与非施工区域必须按规定设置分隔设施，并做到连续、稳固、整洁、美观和线型和顺。施工区域的围护设施如有损坏要及时修复。</w:t>
      </w:r>
    </w:p>
    <w:p>
      <w:pPr>
        <w:snapToGrid w:val="0"/>
        <w:spacing w:line="360" w:lineRule="auto"/>
        <w:ind w:firstLine="480"/>
        <w:rPr>
          <w:rFonts w:ascii="宋体" w:hAnsi="宋体"/>
          <w:sz w:val="22"/>
          <w:szCs w:val="22"/>
        </w:rPr>
      </w:pPr>
      <w:r>
        <w:rPr>
          <w:rFonts w:ascii="宋体" w:hAnsi="宋体"/>
          <w:sz w:val="22"/>
          <w:szCs w:val="22"/>
        </w:rPr>
        <w:t>3</w:t>
      </w:r>
      <w:r>
        <w:rPr>
          <w:rFonts w:hint="eastAsia" w:ascii="宋体" w:hAnsi="宋体"/>
          <w:sz w:val="22"/>
          <w:szCs w:val="22"/>
        </w:rPr>
        <w:t>、在施工的路段要有保证车辆通行宽度的车行道、人行道和沿街居民出行的安全便道。凡在施工道路的交叉路口，均应按规定设置交通标志</w:t>
      </w:r>
      <w:r>
        <w:rPr>
          <w:rFonts w:ascii="宋体" w:hAnsi="宋体"/>
          <w:sz w:val="22"/>
          <w:szCs w:val="22"/>
        </w:rPr>
        <w:t>(</w:t>
      </w:r>
      <w:r>
        <w:rPr>
          <w:rFonts w:hint="eastAsia" w:ascii="宋体" w:hAnsi="宋体"/>
          <w:sz w:val="22"/>
          <w:szCs w:val="22"/>
        </w:rPr>
        <w:t>牌</w:t>
      </w:r>
      <w:r>
        <w:rPr>
          <w:rFonts w:ascii="宋体" w:hAnsi="宋体"/>
          <w:sz w:val="22"/>
          <w:szCs w:val="22"/>
        </w:rPr>
        <w:t>)</w:t>
      </w:r>
      <w:r>
        <w:rPr>
          <w:rFonts w:hint="eastAsia" w:ascii="宋体" w:hAnsi="宋体"/>
          <w:sz w:val="22"/>
          <w:szCs w:val="22"/>
        </w:rPr>
        <w:t>，夜间设示警灯及照明灯，便于车辆行人通行。如遇台风、暴雨季节要派人值班，确保安全。</w:t>
      </w:r>
    </w:p>
    <w:p>
      <w:pPr>
        <w:snapToGrid w:val="0"/>
        <w:spacing w:line="360" w:lineRule="auto"/>
        <w:ind w:firstLine="480"/>
        <w:rPr>
          <w:rFonts w:ascii="宋体" w:hAnsi="宋体"/>
          <w:sz w:val="22"/>
          <w:szCs w:val="22"/>
        </w:rPr>
      </w:pPr>
      <w:r>
        <w:rPr>
          <w:rFonts w:ascii="宋体" w:hAnsi="宋体"/>
          <w:sz w:val="22"/>
          <w:szCs w:val="22"/>
        </w:rPr>
        <w:t>4</w:t>
      </w:r>
      <w:r>
        <w:rPr>
          <w:rFonts w:hint="eastAsia" w:ascii="宋体" w:hAnsi="宋体"/>
          <w:sz w:val="22"/>
          <w:szCs w:val="22"/>
        </w:rPr>
        <w:t>、要落实切实可行的施工临时排水和防汛措施，禁止向通道上排放，禁止泥浆水、水泥浆水未经沉淀直接排入下水道。</w:t>
      </w:r>
    </w:p>
    <w:p>
      <w:pPr>
        <w:snapToGrid w:val="0"/>
        <w:spacing w:line="360" w:lineRule="auto"/>
        <w:ind w:firstLine="480"/>
        <w:rPr>
          <w:rFonts w:ascii="宋体" w:hAnsi="宋体"/>
          <w:sz w:val="22"/>
          <w:szCs w:val="22"/>
        </w:rPr>
      </w:pPr>
      <w:r>
        <w:rPr>
          <w:rFonts w:ascii="宋体" w:hAnsi="宋体"/>
          <w:sz w:val="22"/>
          <w:szCs w:val="22"/>
        </w:rPr>
        <w:t>5</w:t>
      </w:r>
      <w:r>
        <w:rPr>
          <w:rFonts w:hint="eastAsia" w:ascii="宋体" w:hAnsi="宋体"/>
          <w:sz w:val="22"/>
          <w:szCs w:val="22"/>
        </w:rPr>
        <w:t>、施工现场平面布置合理，各类材料、设备、预制构件等</w:t>
      </w:r>
      <w:r>
        <w:rPr>
          <w:rFonts w:ascii="宋体" w:hAnsi="宋体"/>
          <w:sz w:val="22"/>
          <w:szCs w:val="22"/>
        </w:rPr>
        <w:t>(</w:t>
      </w:r>
      <w:r>
        <w:rPr>
          <w:rFonts w:hint="eastAsia" w:ascii="宋体" w:hAnsi="宋体"/>
          <w:sz w:val="22"/>
          <w:szCs w:val="22"/>
        </w:rPr>
        <w:t>包括土方</w:t>
      </w:r>
      <w:r>
        <w:rPr>
          <w:rFonts w:ascii="宋体" w:hAnsi="宋体"/>
          <w:sz w:val="22"/>
          <w:szCs w:val="22"/>
        </w:rPr>
        <w:t>)</w:t>
      </w:r>
      <w:r>
        <w:rPr>
          <w:rFonts w:hint="eastAsia" w:ascii="宋体" w:hAnsi="宋体"/>
          <w:sz w:val="22"/>
          <w:szCs w:val="22"/>
        </w:rPr>
        <w:t>做到有序堆放，不得侵占车行道、人行道。施工中要加强对各种管线的保护。</w:t>
      </w:r>
    </w:p>
    <w:p>
      <w:pPr>
        <w:snapToGrid w:val="0"/>
        <w:spacing w:line="360" w:lineRule="auto"/>
        <w:ind w:firstLine="480"/>
        <w:rPr>
          <w:rFonts w:ascii="宋体" w:hAnsi="宋体"/>
          <w:sz w:val="22"/>
          <w:szCs w:val="22"/>
        </w:rPr>
      </w:pPr>
      <w:r>
        <w:rPr>
          <w:rFonts w:ascii="宋体" w:hAnsi="宋体"/>
          <w:sz w:val="22"/>
          <w:szCs w:val="22"/>
        </w:rPr>
        <w:t>6</w:t>
      </w:r>
      <w:r>
        <w:rPr>
          <w:rFonts w:hint="eastAsia" w:ascii="宋体" w:hAnsi="宋体"/>
          <w:sz w:val="22"/>
          <w:szCs w:val="22"/>
        </w:rPr>
        <w:t>、施工中必须要采取有效措施，防止渣土洒落，泥浆、废水流溢，控制粉尘飞扬，减少施工对本市环境的污染，严格控制噪音。</w:t>
      </w:r>
    </w:p>
    <w:p>
      <w:pPr>
        <w:snapToGrid w:val="0"/>
        <w:spacing w:line="360" w:lineRule="auto"/>
        <w:ind w:firstLine="480"/>
        <w:rPr>
          <w:rFonts w:ascii="宋体" w:hAnsi="宋体"/>
          <w:sz w:val="22"/>
          <w:szCs w:val="22"/>
        </w:rPr>
      </w:pPr>
      <w:r>
        <w:rPr>
          <w:rFonts w:ascii="宋体" w:hAnsi="宋体"/>
          <w:sz w:val="22"/>
          <w:szCs w:val="22"/>
        </w:rPr>
        <w:t>7</w:t>
      </w:r>
      <w:r>
        <w:rPr>
          <w:rFonts w:hint="eastAsia" w:ascii="宋体" w:hAnsi="宋体"/>
          <w:sz w:val="22"/>
          <w:szCs w:val="22"/>
        </w:rPr>
        <w:t>、为配合实施国家和上海市开展环境保护和减少污染的要求，承包人必须在每年</w:t>
      </w:r>
      <w:r>
        <w:rPr>
          <w:rFonts w:ascii="宋体" w:hAnsi="宋体"/>
          <w:sz w:val="22"/>
          <w:szCs w:val="22"/>
        </w:rPr>
        <w:t>5-8</w:t>
      </w:r>
      <w:r>
        <w:rPr>
          <w:rFonts w:hint="eastAsia" w:ascii="宋体" w:hAnsi="宋体"/>
          <w:sz w:val="22"/>
          <w:szCs w:val="22"/>
        </w:rPr>
        <w:t>月委托政府环保监督部门对施工过程中的噪音、粉尘、废水进行一次测试，出具相应的测试报告，并提交发包人备案。</w:t>
      </w:r>
    </w:p>
    <w:p>
      <w:pPr>
        <w:snapToGrid w:val="0"/>
        <w:spacing w:line="360" w:lineRule="auto"/>
        <w:ind w:firstLine="480"/>
        <w:rPr>
          <w:rFonts w:ascii="宋体" w:hAnsi="宋体"/>
          <w:sz w:val="22"/>
          <w:szCs w:val="22"/>
        </w:rPr>
      </w:pPr>
      <w:r>
        <w:rPr>
          <w:rFonts w:ascii="宋体" w:hAnsi="宋体"/>
          <w:sz w:val="22"/>
          <w:szCs w:val="22"/>
        </w:rPr>
        <w:t>8</w:t>
      </w:r>
      <w:r>
        <w:rPr>
          <w:rFonts w:hint="eastAsia" w:ascii="宋体" w:hAnsi="宋体"/>
          <w:sz w:val="22"/>
          <w:szCs w:val="22"/>
        </w:rPr>
        <w:t>、如发现承包人未进行上述环境保护测试工作，此测试工作由发包人代为办理，其费用由承包人加倍承担。</w:t>
      </w:r>
    </w:p>
    <w:p>
      <w:pPr>
        <w:snapToGrid w:val="0"/>
        <w:spacing w:line="360" w:lineRule="auto"/>
        <w:ind w:firstLine="480"/>
        <w:rPr>
          <w:rFonts w:ascii="宋体" w:hAnsi="宋体"/>
          <w:sz w:val="22"/>
          <w:szCs w:val="22"/>
        </w:rPr>
      </w:pPr>
      <w:r>
        <w:rPr>
          <w:rFonts w:hint="eastAsia" w:ascii="宋体" w:hAnsi="宋体"/>
          <w:sz w:val="22"/>
          <w:szCs w:val="22"/>
        </w:rPr>
        <w:t>四、承包人负责施工区域及生活区域的环境卫生，建立完善相关的规章制度，落实责任制。做到“五小”生活设施齐全，符合规范要求。</w:t>
      </w:r>
    </w:p>
    <w:p>
      <w:pPr>
        <w:snapToGrid w:val="0"/>
        <w:spacing w:line="360" w:lineRule="auto"/>
        <w:ind w:firstLine="480"/>
        <w:rPr>
          <w:rFonts w:ascii="宋体" w:hAnsi="宋体"/>
          <w:sz w:val="22"/>
          <w:szCs w:val="22"/>
        </w:rPr>
      </w:pPr>
      <w:r>
        <w:rPr>
          <w:rFonts w:hint="eastAsia" w:ascii="宋体" w:hAnsi="宋体"/>
          <w:sz w:val="22"/>
          <w:szCs w:val="22"/>
        </w:rPr>
        <w:t>五、发包人对承包人开展创建文明工地的工作要经常性地给予指导，定期组织检查，对承包人存在的问题应及时通知承包人进行整改，并有权以承包人责任违约，对责任单位每次处罚</w:t>
      </w:r>
      <w:r>
        <w:rPr>
          <w:rFonts w:ascii="宋体" w:hAnsi="宋体"/>
          <w:sz w:val="22"/>
          <w:szCs w:val="22"/>
        </w:rPr>
        <w:t>500</w:t>
      </w:r>
      <w:r>
        <w:rPr>
          <w:rFonts w:hint="eastAsia" w:ascii="宋体" w:hAnsi="宋体"/>
          <w:sz w:val="22"/>
          <w:szCs w:val="22"/>
        </w:rPr>
        <w:t>至</w:t>
      </w:r>
      <w:r>
        <w:rPr>
          <w:rFonts w:ascii="宋体" w:hAnsi="宋体"/>
          <w:sz w:val="22"/>
          <w:szCs w:val="22"/>
        </w:rPr>
        <w:t>5000</w:t>
      </w:r>
      <w:r>
        <w:rPr>
          <w:rFonts w:hint="eastAsia" w:ascii="宋体" w:hAnsi="宋体"/>
          <w:sz w:val="22"/>
          <w:szCs w:val="22"/>
        </w:rPr>
        <w:t>元，并采取强化整改措施，对未按要求限期整改的或整改不力，情节严重的，对责任单位每次处罚</w:t>
      </w:r>
      <w:r>
        <w:rPr>
          <w:rFonts w:ascii="宋体" w:hAnsi="宋体"/>
          <w:sz w:val="22"/>
          <w:szCs w:val="22"/>
        </w:rPr>
        <w:t>1</w:t>
      </w:r>
      <w:r>
        <w:rPr>
          <w:rFonts w:hint="eastAsia" w:ascii="宋体" w:hAnsi="宋体"/>
          <w:sz w:val="22"/>
          <w:szCs w:val="22"/>
        </w:rPr>
        <w:t>万至</w:t>
      </w:r>
      <w:r>
        <w:rPr>
          <w:rFonts w:ascii="宋体" w:hAnsi="宋体"/>
          <w:sz w:val="22"/>
          <w:szCs w:val="22"/>
        </w:rPr>
        <w:t>5</w:t>
      </w:r>
      <w:r>
        <w:rPr>
          <w:rFonts w:hint="eastAsia" w:ascii="宋体" w:hAnsi="宋体"/>
          <w:sz w:val="22"/>
          <w:szCs w:val="22"/>
        </w:rPr>
        <w:t>万元不等，整改所发生的费用从安全抵押金中扣除，最高上限为</w:t>
      </w:r>
      <w:r>
        <w:rPr>
          <w:rFonts w:ascii="宋体" w:hAnsi="宋体"/>
          <w:sz w:val="22"/>
          <w:szCs w:val="22"/>
        </w:rPr>
        <w:t>10</w:t>
      </w:r>
      <w:r>
        <w:rPr>
          <w:rFonts w:hint="eastAsia" w:ascii="宋体" w:hAnsi="宋体"/>
          <w:sz w:val="22"/>
          <w:szCs w:val="22"/>
        </w:rPr>
        <w:t>万元。</w:t>
      </w:r>
    </w:p>
    <w:p>
      <w:pPr>
        <w:snapToGrid w:val="0"/>
        <w:spacing w:line="360" w:lineRule="auto"/>
        <w:ind w:firstLine="480"/>
        <w:rPr>
          <w:rFonts w:ascii="宋体" w:hAnsi="宋体"/>
          <w:sz w:val="22"/>
          <w:szCs w:val="22"/>
        </w:rPr>
      </w:pPr>
      <w:r>
        <w:rPr>
          <w:rFonts w:hint="eastAsia" w:ascii="宋体" w:hAnsi="宋体"/>
          <w:sz w:val="22"/>
          <w:szCs w:val="22"/>
        </w:rPr>
        <w:t>六、因承包人违反文明施工管理要求，被地方政府有关部门查获而受到的经济处罚，以及由此而使发包人受到的经济损失，均由承包人承担。</w:t>
      </w:r>
    </w:p>
    <w:p>
      <w:pPr>
        <w:snapToGrid w:val="0"/>
        <w:spacing w:line="360" w:lineRule="auto"/>
        <w:ind w:firstLine="480"/>
        <w:rPr>
          <w:rFonts w:ascii="宋体" w:hAnsi="宋体"/>
          <w:sz w:val="22"/>
          <w:szCs w:val="22"/>
        </w:rPr>
      </w:pPr>
      <w:r>
        <w:rPr>
          <w:rFonts w:hint="eastAsia" w:ascii="宋体" w:hAnsi="宋体"/>
          <w:sz w:val="22"/>
          <w:szCs w:val="22"/>
        </w:rPr>
        <w:t>七、本协议作为甲乙双方工程合同的附件，在工程合同正式签约后生效，与工程合同具有同等法律效力。工程合同期满，本协议终止。</w:t>
      </w:r>
    </w:p>
    <w:p>
      <w:pPr>
        <w:snapToGrid w:val="0"/>
        <w:spacing w:line="360" w:lineRule="auto"/>
        <w:ind w:firstLine="480"/>
        <w:rPr>
          <w:rFonts w:ascii="宋体" w:hAnsi="宋体"/>
          <w:sz w:val="22"/>
          <w:szCs w:val="22"/>
        </w:rPr>
      </w:pPr>
      <w:r>
        <w:rPr>
          <w:rFonts w:hint="eastAsia" w:ascii="宋体" w:hAnsi="宋体"/>
          <w:sz w:val="22"/>
          <w:szCs w:val="22"/>
        </w:rPr>
        <w:t>发包人：（盖章）</w:t>
      </w:r>
      <w:r>
        <w:rPr>
          <w:rFonts w:ascii="宋体" w:hAnsi="宋体"/>
          <w:sz w:val="22"/>
          <w:szCs w:val="22"/>
        </w:rPr>
        <w:t xml:space="preserve">                     </w:t>
      </w:r>
      <w:r>
        <w:rPr>
          <w:rFonts w:hint="eastAsia" w:ascii="宋体" w:hAnsi="宋体"/>
          <w:sz w:val="22"/>
          <w:szCs w:val="22"/>
        </w:rPr>
        <w:t>承包人：（盖章）</w:t>
      </w:r>
    </w:p>
    <w:p>
      <w:pPr>
        <w:snapToGrid w:val="0"/>
        <w:spacing w:line="360" w:lineRule="auto"/>
        <w:ind w:firstLine="480"/>
        <w:rPr>
          <w:rFonts w:ascii="宋体" w:hAnsi="宋体"/>
          <w:sz w:val="22"/>
          <w:szCs w:val="22"/>
        </w:rPr>
      </w:pPr>
      <w:r>
        <w:rPr>
          <w:rFonts w:hint="eastAsia" w:ascii="宋体" w:hAnsi="宋体"/>
          <w:sz w:val="22"/>
          <w:szCs w:val="22"/>
        </w:rPr>
        <w:t>法定代表人：</w:t>
      </w:r>
      <w:r>
        <w:rPr>
          <w:rFonts w:ascii="宋体" w:hAnsi="宋体"/>
          <w:sz w:val="22"/>
          <w:szCs w:val="22"/>
        </w:rPr>
        <w:t>(</w:t>
      </w:r>
      <w:r>
        <w:rPr>
          <w:rFonts w:hint="eastAsia" w:ascii="宋体" w:hAnsi="宋体"/>
          <w:sz w:val="22"/>
          <w:szCs w:val="22"/>
        </w:rPr>
        <w:t>签字或盖章</w:t>
      </w:r>
      <w:r>
        <w:rPr>
          <w:rFonts w:ascii="宋体" w:hAnsi="宋体"/>
          <w:sz w:val="22"/>
          <w:szCs w:val="22"/>
        </w:rPr>
        <w:t xml:space="preserve">)            </w:t>
      </w:r>
      <w:r>
        <w:rPr>
          <w:rFonts w:hint="eastAsia" w:ascii="宋体" w:hAnsi="宋体"/>
          <w:sz w:val="22"/>
          <w:szCs w:val="22"/>
        </w:rPr>
        <w:t>法定代表人：</w:t>
      </w:r>
      <w:r>
        <w:rPr>
          <w:rFonts w:ascii="宋体" w:hAnsi="宋体"/>
          <w:sz w:val="22"/>
          <w:szCs w:val="22"/>
        </w:rPr>
        <w:t>(</w:t>
      </w:r>
      <w:r>
        <w:rPr>
          <w:rFonts w:hint="eastAsia" w:ascii="宋体" w:hAnsi="宋体"/>
          <w:sz w:val="22"/>
          <w:szCs w:val="22"/>
        </w:rPr>
        <w:t>签字或盖章</w:t>
      </w:r>
      <w:r>
        <w:rPr>
          <w:rFonts w:ascii="宋体" w:hAnsi="宋体"/>
          <w:sz w:val="22"/>
          <w:szCs w:val="22"/>
        </w:rPr>
        <w:t xml:space="preserve">)           </w:t>
      </w:r>
    </w:p>
    <w:p>
      <w:pPr>
        <w:snapToGrid w:val="0"/>
        <w:spacing w:line="360" w:lineRule="auto"/>
        <w:ind w:firstLine="480"/>
        <w:rPr>
          <w:rFonts w:ascii="宋体" w:hAnsi="宋体"/>
          <w:sz w:val="22"/>
          <w:szCs w:val="22"/>
        </w:rPr>
      </w:pPr>
      <w:r>
        <w:rPr>
          <w:rFonts w:hint="eastAsia" w:ascii="宋体" w:hAnsi="宋体"/>
          <w:sz w:val="22"/>
          <w:szCs w:val="22"/>
        </w:rPr>
        <w:t>签约日期：</w:t>
      </w:r>
      <w:r>
        <w:rPr>
          <w:rFonts w:ascii="宋体" w:hAnsi="宋体"/>
          <w:sz w:val="22"/>
          <w:szCs w:val="22"/>
        </w:rPr>
        <w:t xml:space="preserve">     </w:t>
      </w:r>
      <w:bookmarkStart w:id="519" w:name="_Toc364679596"/>
    </w:p>
    <w:p>
      <w:pPr>
        <w:pStyle w:val="4"/>
        <w:rPr>
          <w:rFonts w:ascii="宋体" w:hAnsi="宋体" w:eastAsia="宋体" w:cs="仿宋"/>
          <w:sz w:val="22"/>
          <w:szCs w:val="22"/>
        </w:rPr>
      </w:pPr>
      <w:bookmarkStart w:id="520" w:name="_Toc500"/>
      <w:bookmarkStart w:id="521" w:name="_Toc32540"/>
      <w:bookmarkStart w:id="522" w:name="_Toc9112936"/>
      <w:bookmarkStart w:id="523" w:name="_Toc11963272"/>
      <w:bookmarkStart w:id="524" w:name="_Toc28783"/>
      <w:bookmarkStart w:id="525" w:name="_Toc12363477"/>
      <w:bookmarkStart w:id="526" w:name="_Toc13151"/>
    </w:p>
    <w:p>
      <w:pPr>
        <w:pStyle w:val="4"/>
        <w:jc w:val="both"/>
        <w:rPr>
          <w:rFonts w:ascii="宋体" w:hAnsi="宋体" w:eastAsia="宋体" w:cs="仿宋"/>
          <w:sz w:val="22"/>
          <w:szCs w:val="22"/>
        </w:rPr>
      </w:pPr>
    </w:p>
    <w:p>
      <w:pPr>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2"/>
        <w:rPr>
          <w:rFonts w:ascii="宋体" w:hAnsi="宋体" w:cs="仿宋"/>
          <w:sz w:val="22"/>
          <w:szCs w:val="22"/>
        </w:rPr>
      </w:pPr>
    </w:p>
    <w:p>
      <w:pPr>
        <w:pStyle w:val="4"/>
        <w:jc w:val="both"/>
        <w:rPr>
          <w:rFonts w:ascii="宋体" w:hAnsi="宋体" w:eastAsia="宋体" w:cs="仿宋"/>
          <w:sz w:val="22"/>
          <w:szCs w:val="22"/>
        </w:rPr>
      </w:pPr>
    </w:p>
    <w:p>
      <w:pPr>
        <w:rPr>
          <w:rFonts w:ascii="宋体" w:hAnsi="宋体" w:eastAsia="宋体" w:cs="仿宋"/>
          <w:sz w:val="22"/>
          <w:szCs w:val="22"/>
        </w:rPr>
      </w:pPr>
    </w:p>
    <w:p>
      <w:pPr>
        <w:pStyle w:val="2"/>
        <w:rPr>
          <w:rFonts w:ascii="宋体" w:hAnsi="宋体" w:eastAsia="宋体" w:cs="仿宋"/>
          <w:sz w:val="22"/>
          <w:szCs w:val="22"/>
        </w:rPr>
      </w:pPr>
    </w:p>
    <w:p>
      <w:pPr>
        <w:pStyle w:val="2"/>
        <w:rPr>
          <w:rFonts w:ascii="宋体" w:hAnsi="宋体" w:eastAsia="宋体" w:cs="仿宋"/>
          <w:sz w:val="22"/>
          <w:szCs w:val="22"/>
        </w:rPr>
      </w:pPr>
    </w:p>
    <w:p>
      <w:pPr>
        <w:pStyle w:val="4"/>
        <w:jc w:val="both"/>
        <w:rPr>
          <w:rFonts w:ascii="宋体" w:hAnsi="宋体" w:eastAsia="宋体" w:cs="仿宋"/>
          <w:sz w:val="22"/>
          <w:szCs w:val="22"/>
        </w:rPr>
      </w:pPr>
    </w:p>
    <w:p>
      <w:pPr>
        <w:rPr>
          <w:rFonts w:ascii="宋体" w:hAnsi="宋体" w:cs="仿宋"/>
          <w:sz w:val="22"/>
          <w:szCs w:val="22"/>
        </w:rPr>
      </w:pPr>
    </w:p>
    <w:p>
      <w:pPr>
        <w:jc w:val="center"/>
        <w:rPr>
          <w:b/>
          <w:bCs/>
          <w:sz w:val="22"/>
          <w:szCs w:val="22"/>
        </w:rPr>
      </w:pPr>
      <w:r>
        <w:rPr>
          <w:rFonts w:hint="eastAsia"/>
          <w:b/>
          <w:bCs/>
          <w:sz w:val="22"/>
          <w:szCs w:val="22"/>
        </w:rPr>
        <w:t>附件4：</w:t>
      </w:r>
      <w:bookmarkStart w:id="527" w:name="_Toc115066571"/>
      <w:bookmarkStart w:id="528" w:name="_Toc278396839"/>
      <w:bookmarkStart w:id="529" w:name="_Toc86473613"/>
      <w:r>
        <w:rPr>
          <w:rFonts w:hint="eastAsia"/>
          <w:b/>
          <w:bCs/>
          <w:sz w:val="22"/>
          <w:szCs w:val="22"/>
        </w:rPr>
        <w:t>治安、防火责任协议</w:t>
      </w:r>
      <w:bookmarkEnd w:id="527"/>
      <w:bookmarkEnd w:id="528"/>
      <w:bookmarkEnd w:id="529"/>
      <w:r>
        <w:rPr>
          <w:rFonts w:hint="eastAsia"/>
          <w:b/>
          <w:bCs/>
          <w:sz w:val="22"/>
          <w:szCs w:val="22"/>
        </w:rPr>
        <w:t>格式</w:t>
      </w:r>
      <w:bookmarkEnd w:id="519"/>
      <w:bookmarkEnd w:id="520"/>
      <w:bookmarkEnd w:id="521"/>
      <w:bookmarkEnd w:id="522"/>
      <w:bookmarkEnd w:id="523"/>
      <w:bookmarkEnd w:id="524"/>
      <w:bookmarkEnd w:id="525"/>
      <w:bookmarkEnd w:id="526"/>
    </w:p>
    <w:p>
      <w:pPr>
        <w:spacing w:beforeLines="50" w:afterLines="50" w:line="360" w:lineRule="auto"/>
        <w:jc w:val="center"/>
        <w:rPr>
          <w:rFonts w:ascii="宋体" w:hAnsi="宋体"/>
          <w:sz w:val="22"/>
          <w:szCs w:val="22"/>
        </w:rPr>
      </w:pPr>
      <w:r>
        <w:rPr>
          <w:rFonts w:hint="eastAsia" w:ascii="宋体" w:hAnsi="宋体"/>
          <w:sz w:val="22"/>
          <w:szCs w:val="22"/>
        </w:rPr>
        <w:t>治安、防火责任协议</w:t>
      </w:r>
    </w:p>
    <w:p>
      <w:pPr>
        <w:snapToGrid w:val="0"/>
        <w:spacing w:line="360" w:lineRule="auto"/>
        <w:ind w:firstLine="550" w:firstLineChars="250"/>
        <w:rPr>
          <w:rFonts w:ascii="宋体" w:hAnsi="宋体"/>
          <w:sz w:val="22"/>
          <w:szCs w:val="22"/>
        </w:rPr>
      </w:pPr>
      <w:r>
        <w:rPr>
          <w:rFonts w:hint="eastAsia" w:ascii="宋体" w:hAnsi="宋体"/>
          <w:sz w:val="22"/>
          <w:szCs w:val="22"/>
        </w:rPr>
        <w:t>为切实搞好工程建设中的治安、防火工作，确保施工现场的治安稳定和防火安全，现根据《上海市社会治安防范责任条例》之规定，经甲乙双方协商，明确双方在治安防范、防火安全方面的权利和义务：</w:t>
      </w:r>
    </w:p>
    <w:p>
      <w:pPr>
        <w:snapToGrid w:val="0"/>
        <w:spacing w:line="360" w:lineRule="auto"/>
        <w:ind w:firstLine="480"/>
        <w:rPr>
          <w:rFonts w:ascii="宋体" w:hAnsi="宋体"/>
          <w:sz w:val="22"/>
          <w:szCs w:val="22"/>
        </w:rPr>
      </w:pPr>
      <w:r>
        <w:rPr>
          <w:rFonts w:hint="eastAsia" w:ascii="宋体" w:hAnsi="宋体"/>
          <w:sz w:val="22"/>
          <w:szCs w:val="22"/>
        </w:rPr>
        <w:t>一、发包人的权利和义务</w:t>
      </w:r>
    </w:p>
    <w:p>
      <w:pPr>
        <w:snapToGrid w:val="0"/>
        <w:spacing w:line="360" w:lineRule="auto"/>
        <w:ind w:firstLine="480"/>
        <w:rPr>
          <w:rFonts w:ascii="宋体" w:hAnsi="宋体"/>
          <w:sz w:val="22"/>
          <w:szCs w:val="22"/>
        </w:rPr>
      </w:pPr>
      <w:r>
        <w:rPr>
          <w:rFonts w:ascii="宋体" w:hAnsi="宋体"/>
          <w:sz w:val="22"/>
          <w:szCs w:val="22"/>
        </w:rPr>
        <w:t>1</w:t>
      </w:r>
      <w:r>
        <w:rPr>
          <w:rFonts w:hint="eastAsia" w:ascii="宋体" w:hAnsi="宋体"/>
          <w:sz w:val="22"/>
          <w:szCs w:val="22"/>
        </w:rPr>
        <w:t>．发包人在与承包人签约工程合同时应将发包人对《施工现场治安防火工作管理规范》（后附）书面交于承包人，明确要求、落实责任、加强指导。</w:t>
      </w:r>
    </w:p>
    <w:p>
      <w:pPr>
        <w:snapToGrid w:val="0"/>
        <w:spacing w:line="360" w:lineRule="auto"/>
        <w:ind w:firstLine="480"/>
        <w:rPr>
          <w:rFonts w:ascii="宋体" w:hAnsi="宋体"/>
          <w:sz w:val="22"/>
          <w:szCs w:val="22"/>
        </w:rPr>
      </w:pPr>
      <w:r>
        <w:rPr>
          <w:rFonts w:ascii="宋体" w:hAnsi="宋体"/>
          <w:sz w:val="22"/>
          <w:szCs w:val="22"/>
        </w:rPr>
        <w:t>2</w:t>
      </w:r>
      <w:r>
        <w:rPr>
          <w:rFonts w:hint="eastAsia" w:ascii="宋体" w:hAnsi="宋体"/>
          <w:sz w:val="22"/>
          <w:szCs w:val="22"/>
        </w:rPr>
        <w:t>．发包人应将上级公安部门和上级单位对工地治安防火工作的有关要求、信息及时向承包人进行传达布置，定期听取承包人在开展治安防火工作中的情况和意见，做好指导和协调工作。</w:t>
      </w:r>
    </w:p>
    <w:p>
      <w:pPr>
        <w:snapToGrid w:val="0"/>
        <w:spacing w:line="360" w:lineRule="auto"/>
        <w:ind w:firstLine="480"/>
        <w:rPr>
          <w:rFonts w:ascii="宋体" w:hAnsi="宋体"/>
          <w:sz w:val="22"/>
          <w:szCs w:val="22"/>
        </w:rPr>
      </w:pPr>
      <w:r>
        <w:rPr>
          <w:rFonts w:ascii="宋体" w:hAnsi="宋体"/>
          <w:sz w:val="22"/>
          <w:szCs w:val="22"/>
        </w:rPr>
        <w:t>3</w:t>
      </w:r>
      <w:r>
        <w:rPr>
          <w:rFonts w:hint="eastAsia" w:ascii="宋体" w:hAnsi="宋体"/>
          <w:sz w:val="22"/>
          <w:szCs w:val="22"/>
        </w:rPr>
        <w:t>．发包人有权对承包人贯彻落实治安防火工作的情况进行检查，对承包人有关人员发生的违章违法行为及相关问题，则有权教育、制止和责成其限期整改，必要时可按责任违约给予相应的经济处理</w:t>
      </w:r>
      <w:r>
        <w:rPr>
          <w:rFonts w:ascii="宋体" w:hAnsi="宋体"/>
          <w:sz w:val="22"/>
          <w:szCs w:val="22"/>
        </w:rPr>
        <w:t>(500</w:t>
      </w:r>
      <w:r>
        <w:rPr>
          <w:rFonts w:hint="eastAsia" w:ascii="宋体" w:hAnsi="宋体"/>
          <w:sz w:val="22"/>
          <w:szCs w:val="22"/>
        </w:rPr>
        <w:t>至</w:t>
      </w:r>
      <w:r>
        <w:rPr>
          <w:rFonts w:ascii="宋体" w:hAnsi="宋体"/>
          <w:sz w:val="22"/>
          <w:szCs w:val="22"/>
        </w:rPr>
        <w:t>1000</w:t>
      </w:r>
      <w:r>
        <w:rPr>
          <w:rFonts w:hint="eastAsia" w:ascii="宋体" w:hAnsi="宋体"/>
          <w:sz w:val="22"/>
          <w:szCs w:val="22"/>
        </w:rPr>
        <w:t>元／次</w:t>
      </w:r>
      <w:r>
        <w:rPr>
          <w:rFonts w:ascii="宋体" w:hAnsi="宋体"/>
          <w:sz w:val="22"/>
          <w:szCs w:val="22"/>
        </w:rPr>
        <w:t>)</w:t>
      </w:r>
      <w:r>
        <w:rPr>
          <w:rFonts w:hint="eastAsia" w:ascii="宋体" w:hAnsi="宋体"/>
          <w:sz w:val="22"/>
          <w:szCs w:val="22"/>
        </w:rPr>
        <w:t>。</w:t>
      </w:r>
    </w:p>
    <w:p>
      <w:pPr>
        <w:snapToGrid w:val="0"/>
        <w:spacing w:line="360" w:lineRule="auto"/>
        <w:ind w:firstLine="480"/>
        <w:rPr>
          <w:rFonts w:ascii="宋体" w:hAnsi="宋体"/>
          <w:sz w:val="22"/>
          <w:szCs w:val="22"/>
        </w:rPr>
      </w:pPr>
      <w:r>
        <w:rPr>
          <w:rFonts w:ascii="宋体" w:hAnsi="宋体"/>
          <w:sz w:val="22"/>
          <w:szCs w:val="22"/>
        </w:rPr>
        <w:t>4</w:t>
      </w:r>
      <w:r>
        <w:rPr>
          <w:rFonts w:hint="eastAsia" w:ascii="宋体" w:hAnsi="宋体"/>
          <w:sz w:val="22"/>
          <w:szCs w:val="22"/>
        </w:rPr>
        <w:t>．承包人的违章违法行为，发包人有权对其进行经济处理的是指：</w:t>
      </w:r>
    </w:p>
    <w:p>
      <w:pPr>
        <w:snapToGrid w:val="0"/>
        <w:spacing w:line="360" w:lineRule="auto"/>
        <w:ind w:firstLine="480"/>
        <w:rPr>
          <w:rFonts w:ascii="宋体" w:hAnsi="宋体"/>
          <w:sz w:val="22"/>
          <w:szCs w:val="22"/>
        </w:rPr>
      </w:pPr>
      <w:r>
        <w:rPr>
          <w:rFonts w:ascii="宋体" w:hAnsi="宋体"/>
          <w:sz w:val="22"/>
          <w:szCs w:val="22"/>
        </w:rPr>
        <w:t>(1)</w:t>
      </w:r>
      <w:r>
        <w:rPr>
          <w:rFonts w:hint="eastAsia" w:ascii="宋体" w:hAnsi="宋体"/>
          <w:sz w:val="22"/>
          <w:szCs w:val="22"/>
        </w:rPr>
        <w:t>未经公安消防部门审核批准，擅自使用液化气钢瓶或违章储存易燃、易爆危险物品尚未造成后果的。</w:t>
      </w:r>
    </w:p>
    <w:p>
      <w:pPr>
        <w:snapToGrid w:val="0"/>
        <w:spacing w:line="360" w:lineRule="auto"/>
        <w:ind w:firstLine="480"/>
        <w:rPr>
          <w:rFonts w:ascii="宋体" w:hAnsi="宋体"/>
          <w:sz w:val="22"/>
          <w:szCs w:val="22"/>
        </w:rPr>
      </w:pPr>
      <w:r>
        <w:rPr>
          <w:rFonts w:ascii="宋体" w:hAnsi="宋体"/>
          <w:sz w:val="22"/>
          <w:szCs w:val="22"/>
        </w:rPr>
        <w:t>(2)</w:t>
      </w:r>
      <w:r>
        <w:rPr>
          <w:rFonts w:hint="eastAsia" w:ascii="宋体" w:hAnsi="宋体"/>
          <w:sz w:val="22"/>
          <w:szCs w:val="22"/>
        </w:rPr>
        <w:t>未严格按本公司《施工现场动用明火管理规定》（后附）进行动火作业尚未造成后果的。</w:t>
      </w:r>
    </w:p>
    <w:p>
      <w:pPr>
        <w:snapToGrid w:val="0"/>
        <w:spacing w:line="360" w:lineRule="auto"/>
        <w:ind w:firstLine="480"/>
        <w:rPr>
          <w:rFonts w:ascii="宋体" w:hAnsi="宋体"/>
          <w:sz w:val="22"/>
          <w:szCs w:val="22"/>
        </w:rPr>
      </w:pPr>
      <w:r>
        <w:rPr>
          <w:rFonts w:ascii="宋体" w:hAnsi="宋体"/>
          <w:sz w:val="22"/>
          <w:szCs w:val="22"/>
        </w:rPr>
        <w:t>(3)</w:t>
      </w:r>
      <w:r>
        <w:rPr>
          <w:rFonts w:hint="eastAsia" w:ascii="宋体" w:hAnsi="宋体"/>
          <w:sz w:val="22"/>
          <w:szCs w:val="22"/>
        </w:rPr>
        <w:t>施工区域内发生聚众斗殴、赌博、收看淫秽录像等影响工地治安秩序的违法行为及集体宿舍内违章男女混居的。</w:t>
      </w:r>
    </w:p>
    <w:p>
      <w:pPr>
        <w:snapToGrid w:val="0"/>
        <w:spacing w:line="360" w:lineRule="auto"/>
        <w:ind w:firstLine="480"/>
        <w:rPr>
          <w:rFonts w:ascii="宋体" w:hAnsi="宋体"/>
          <w:sz w:val="22"/>
          <w:szCs w:val="22"/>
        </w:rPr>
      </w:pPr>
      <w:r>
        <w:rPr>
          <w:rFonts w:ascii="宋体" w:hAnsi="宋体"/>
          <w:sz w:val="22"/>
          <w:szCs w:val="22"/>
        </w:rPr>
        <w:t>(4)</w:t>
      </w:r>
      <w:r>
        <w:rPr>
          <w:rFonts w:hint="eastAsia" w:ascii="宋体" w:hAnsi="宋体"/>
          <w:sz w:val="22"/>
          <w:szCs w:val="22"/>
        </w:rPr>
        <w:t>违反《施工现场用电安全管理规定》（后附）用电，擅自使用电炉、煤油炉、电热毯、电熨斗等及带有明火的各类电取热器，或擅自使用高能耗灯具取暖、烘烤物品及在禁火区域内违章吸烟的。</w:t>
      </w:r>
    </w:p>
    <w:p>
      <w:pPr>
        <w:snapToGrid w:val="0"/>
        <w:spacing w:line="360" w:lineRule="auto"/>
        <w:ind w:firstLine="480"/>
        <w:rPr>
          <w:rFonts w:ascii="宋体" w:hAnsi="宋体"/>
          <w:sz w:val="22"/>
          <w:szCs w:val="22"/>
        </w:rPr>
      </w:pPr>
      <w:r>
        <w:rPr>
          <w:rFonts w:ascii="宋体" w:hAnsi="宋体"/>
          <w:sz w:val="22"/>
          <w:szCs w:val="22"/>
        </w:rPr>
        <w:t>5</w:t>
      </w:r>
      <w:r>
        <w:rPr>
          <w:rFonts w:hint="eastAsia" w:ascii="宋体" w:hAnsi="宋体"/>
          <w:sz w:val="22"/>
          <w:szCs w:val="22"/>
        </w:rPr>
        <w:t>．承包人在其责任区域内发生严重违法犯罪案件或重特大火灾事故的，由公安司法部门调查处理：但发包人可按其造成的后果和影响，对承包人或其治安、防火第一责任人行使评选先进集体、先进个人否决权。同时，还可对承包人进行</w:t>
      </w:r>
      <w:r>
        <w:rPr>
          <w:rFonts w:ascii="宋体" w:hAnsi="宋体"/>
          <w:sz w:val="22"/>
          <w:szCs w:val="22"/>
        </w:rPr>
        <w:t>2000</w:t>
      </w:r>
      <w:r>
        <w:rPr>
          <w:rFonts w:hint="eastAsia" w:ascii="宋体" w:hAnsi="宋体"/>
          <w:sz w:val="22"/>
          <w:szCs w:val="22"/>
        </w:rPr>
        <w:t>至</w:t>
      </w:r>
      <w:r>
        <w:rPr>
          <w:rFonts w:ascii="宋体" w:hAnsi="宋体"/>
          <w:sz w:val="22"/>
          <w:szCs w:val="22"/>
        </w:rPr>
        <w:t>50000</w:t>
      </w:r>
      <w:r>
        <w:rPr>
          <w:rFonts w:hint="eastAsia" w:ascii="宋体" w:hAnsi="宋体"/>
          <w:sz w:val="22"/>
          <w:szCs w:val="22"/>
        </w:rPr>
        <w:t>元的一次性责任违约经济处理。</w:t>
      </w:r>
    </w:p>
    <w:p>
      <w:pPr>
        <w:snapToGrid w:val="0"/>
        <w:spacing w:line="360" w:lineRule="auto"/>
        <w:ind w:firstLine="480"/>
        <w:rPr>
          <w:rFonts w:ascii="宋体" w:hAnsi="宋体"/>
          <w:sz w:val="22"/>
          <w:szCs w:val="22"/>
        </w:rPr>
      </w:pPr>
      <w:r>
        <w:rPr>
          <w:rFonts w:ascii="宋体" w:hAnsi="宋体"/>
          <w:sz w:val="22"/>
          <w:szCs w:val="22"/>
        </w:rPr>
        <w:t>6</w:t>
      </w:r>
      <w:r>
        <w:rPr>
          <w:rFonts w:hint="eastAsia" w:ascii="宋体" w:hAnsi="宋体"/>
          <w:sz w:val="22"/>
          <w:szCs w:val="22"/>
        </w:rPr>
        <w:t>．发包人对承包人的责任违约经济处理，由发包人开具书面通知单给承包人认可。处理款从承包人工程款中直接扣除。</w:t>
      </w:r>
    </w:p>
    <w:p>
      <w:pPr>
        <w:snapToGrid w:val="0"/>
        <w:spacing w:line="360" w:lineRule="auto"/>
        <w:ind w:firstLine="480"/>
        <w:rPr>
          <w:rFonts w:ascii="宋体" w:hAnsi="宋体"/>
          <w:sz w:val="22"/>
          <w:szCs w:val="22"/>
        </w:rPr>
      </w:pPr>
      <w:r>
        <w:rPr>
          <w:rFonts w:ascii="宋体" w:hAnsi="宋体"/>
          <w:sz w:val="22"/>
          <w:szCs w:val="22"/>
        </w:rPr>
        <w:t>7</w:t>
      </w:r>
      <w:r>
        <w:rPr>
          <w:rFonts w:hint="eastAsia" w:ascii="宋体" w:hAnsi="宋体"/>
          <w:sz w:val="22"/>
          <w:szCs w:val="22"/>
        </w:rPr>
        <w:t>．根据整个工地治安防范的需要，如确需增设或外聘警卫值勤人员时，发包人可按</w:t>
      </w:r>
      <w:r>
        <w:rPr>
          <w:rFonts w:ascii="宋体" w:hAnsi="宋体"/>
          <w:sz w:val="22"/>
          <w:szCs w:val="22"/>
        </w:rPr>
        <w:t>“</w:t>
      </w:r>
      <w:r>
        <w:rPr>
          <w:rFonts w:hint="eastAsia" w:ascii="宋体" w:hAnsi="宋体"/>
          <w:sz w:val="22"/>
          <w:szCs w:val="22"/>
        </w:rPr>
        <w:t>协商、集中</w:t>
      </w:r>
      <w:r>
        <w:rPr>
          <w:rFonts w:ascii="宋体" w:hAnsi="宋体"/>
          <w:sz w:val="22"/>
          <w:szCs w:val="22"/>
        </w:rPr>
        <w:t>”</w:t>
      </w:r>
      <w:r>
        <w:rPr>
          <w:rFonts w:hint="eastAsia" w:ascii="宋体" w:hAnsi="宋体"/>
          <w:sz w:val="22"/>
          <w:szCs w:val="22"/>
        </w:rPr>
        <w:t>的原则决定实施方案，其费用发包人按实际需要由涉及到的各施工单位分担，承包人不得推委。</w:t>
      </w:r>
    </w:p>
    <w:p>
      <w:pPr>
        <w:snapToGrid w:val="0"/>
        <w:spacing w:line="360" w:lineRule="auto"/>
        <w:ind w:firstLine="480"/>
        <w:rPr>
          <w:rFonts w:ascii="宋体" w:hAnsi="宋体"/>
          <w:sz w:val="22"/>
          <w:szCs w:val="22"/>
        </w:rPr>
      </w:pPr>
      <w:r>
        <w:rPr>
          <w:rFonts w:hint="eastAsia" w:ascii="宋体" w:hAnsi="宋体"/>
          <w:sz w:val="22"/>
          <w:szCs w:val="22"/>
        </w:rPr>
        <w:t>二、承包人的权利和义务</w:t>
      </w:r>
    </w:p>
    <w:p>
      <w:pPr>
        <w:snapToGrid w:val="0"/>
        <w:spacing w:line="360" w:lineRule="auto"/>
        <w:ind w:firstLine="480"/>
        <w:rPr>
          <w:rFonts w:ascii="宋体" w:hAnsi="宋体"/>
          <w:sz w:val="22"/>
          <w:szCs w:val="22"/>
        </w:rPr>
      </w:pPr>
      <w:r>
        <w:rPr>
          <w:rFonts w:ascii="宋体" w:hAnsi="宋体"/>
          <w:sz w:val="22"/>
          <w:szCs w:val="22"/>
        </w:rPr>
        <w:t>1</w:t>
      </w:r>
      <w:r>
        <w:rPr>
          <w:rFonts w:hint="eastAsia" w:ascii="宋体" w:hAnsi="宋体"/>
          <w:sz w:val="22"/>
          <w:szCs w:val="22"/>
        </w:rPr>
        <w:t>．承包人在进入工地后，应及时明确落实工地治安、防火第一责任人专（兼）职保卫消防干部及治安保卫组织网络，书面报发包人备案。</w:t>
      </w:r>
    </w:p>
    <w:p>
      <w:pPr>
        <w:snapToGrid w:val="0"/>
        <w:spacing w:line="360" w:lineRule="auto"/>
        <w:ind w:firstLine="480"/>
        <w:rPr>
          <w:rFonts w:ascii="宋体" w:hAnsi="宋体"/>
          <w:sz w:val="22"/>
          <w:szCs w:val="22"/>
        </w:rPr>
      </w:pPr>
      <w:r>
        <w:rPr>
          <w:rFonts w:ascii="宋体" w:hAnsi="宋体"/>
          <w:sz w:val="22"/>
          <w:szCs w:val="22"/>
        </w:rPr>
        <w:t>2</w:t>
      </w:r>
      <w:r>
        <w:rPr>
          <w:rFonts w:hint="eastAsia" w:ascii="宋体" w:hAnsi="宋体"/>
          <w:sz w:val="22"/>
          <w:szCs w:val="22"/>
        </w:rPr>
        <w:t>．承包人在施工期间必须遵守、执行国家和本市颁布的治安、消防方面的法律、法规，认真落实发包人制定的《施工现场治安防火工作管理规范》，服从管理，对本责任区域内的治安稳定、防火安全，实施全面负责，确保不发生重大治安、刑事案件和火灾事故。</w:t>
      </w:r>
    </w:p>
    <w:p>
      <w:pPr>
        <w:snapToGrid w:val="0"/>
        <w:spacing w:line="360" w:lineRule="auto"/>
        <w:ind w:firstLine="480"/>
        <w:rPr>
          <w:rFonts w:ascii="宋体" w:hAnsi="宋体"/>
          <w:sz w:val="22"/>
          <w:szCs w:val="22"/>
        </w:rPr>
      </w:pPr>
      <w:r>
        <w:rPr>
          <w:rFonts w:ascii="宋体" w:hAnsi="宋体"/>
          <w:sz w:val="22"/>
          <w:szCs w:val="22"/>
        </w:rPr>
        <w:t>3</w:t>
      </w:r>
      <w:r>
        <w:rPr>
          <w:rFonts w:hint="eastAsia" w:ascii="宋体" w:hAnsi="宋体"/>
          <w:sz w:val="22"/>
          <w:szCs w:val="22"/>
        </w:rPr>
        <w:t>．承包人的治安防火工作，除接受其上级主管单位的领导外，还应主动接受上海城市轨道交通公安分局和发包人的业务指导、督促、检查。对公安机关和发包人布置的“创建治安合格工地”等工作，要积极地贯彻执行，对公安部门和发包人在检查中查获的各类隐患问题，应在规定的期限内组织整改或采取相应的防范措施，确保安全。</w:t>
      </w:r>
    </w:p>
    <w:p>
      <w:pPr>
        <w:snapToGrid w:val="0"/>
        <w:spacing w:line="360" w:lineRule="auto"/>
        <w:ind w:firstLine="480"/>
        <w:rPr>
          <w:rFonts w:ascii="宋体" w:hAnsi="宋体"/>
          <w:sz w:val="22"/>
          <w:szCs w:val="22"/>
        </w:rPr>
      </w:pPr>
      <w:r>
        <w:rPr>
          <w:rFonts w:ascii="宋体" w:hAnsi="宋体"/>
          <w:sz w:val="22"/>
          <w:szCs w:val="22"/>
        </w:rPr>
        <w:t>4</w:t>
      </w:r>
      <w:r>
        <w:rPr>
          <w:rFonts w:hint="eastAsia" w:ascii="宋体" w:hAnsi="宋体"/>
          <w:sz w:val="22"/>
          <w:szCs w:val="22"/>
        </w:rPr>
        <w:t>．一旦工地上发生治安、刑事案件或火灾事故，承包人应在积极处置、保护现场的同时，立即向公安部门和发包人报告，接受调查、处理。所造成</w:t>
      </w:r>
      <w:r>
        <w:rPr>
          <w:rFonts w:ascii="宋体" w:hAnsi="宋体"/>
          <w:sz w:val="22"/>
          <w:szCs w:val="22"/>
        </w:rPr>
        <w:t>(</w:t>
      </w:r>
      <w:r>
        <w:rPr>
          <w:rFonts w:hint="eastAsia" w:ascii="宋体" w:hAnsi="宋体"/>
          <w:sz w:val="22"/>
          <w:szCs w:val="22"/>
        </w:rPr>
        <w:t>包括对发包人</w:t>
      </w:r>
      <w:r>
        <w:rPr>
          <w:rFonts w:ascii="宋体" w:hAnsi="宋体"/>
          <w:sz w:val="22"/>
          <w:szCs w:val="22"/>
        </w:rPr>
        <w:t>)</w:t>
      </w:r>
      <w:r>
        <w:rPr>
          <w:rFonts w:hint="eastAsia" w:ascii="宋体" w:hAnsi="宋体"/>
          <w:sz w:val="22"/>
          <w:szCs w:val="22"/>
        </w:rPr>
        <w:t>的损失，由承包人承担。</w:t>
      </w:r>
    </w:p>
    <w:p>
      <w:pPr>
        <w:snapToGrid w:val="0"/>
        <w:spacing w:line="360" w:lineRule="auto"/>
        <w:ind w:firstLine="480"/>
        <w:rPr>
          <w:rFonts w:ascii="宋体" w:hAnsi="宋体"/>
          <w:sz w:val="22"/>
          <w:szCs w:val="22"/>
        </w:rPr>
      </w:pPr>
      <w:r>
        <w:rPr>
          <w:rFonts w:ascii="宋体" w:hAnsi="宋体"/>
          <w:sz w:val="22"/>
          <w:szCs w:val="22"/>
        </w:rPr>
        <w:t>5</w:t>
      </w:r>
      <w:r>
        <w:rPr>
          <w:rFonts w:hint="eastAsia" w:ascii="宋体" w:hAnsi="宋体"/>
          <w:sz w:val="22"/>
          <w:szCs w:val="22"/>
        </w:rPr>
        <w:t>．承包人对因违章违法行为所受的责任违约经济处理有异议的，可提出申诉，要求复议。如发现发包人工作人员在工作中有滥用职权、营私舞弊、有意刁难等违法行为的，有权向发包人领导或有关机关检举揭发，要求处理。</w:t>
      </w:r>
    </w:p>
    <w:p>
      <w:pPr>
        <w:snapToGrid w:val="0"/>
        <w:spacing w:line="360" w:lineRule="auto"/>
        <w:ind w:firstLine="480"/>
        <w:rPr>
          <w:rFonts w:ascii="宋体" w:hAnsi="宋体"/>
          <w:sz w:val="22"/>
          <w:szCs w:val="22"/>
        </w:rPr>
      </w:pPr>
      <w:r>
        <w:rPr>
          <w:rFonts w:ascii="宋体" w:hAnsi="宋体"/>
          <w:sz w:val="22"/>
          <w:szCs w:val="22"/>
        </w:rPr>
        <w:t xml:space="preserve">6.  </w:t>
      </w:r>
      <w:r>
        <w:rPr>
          <w:rFonts w:hint="eastAsia" w:ascii="宋体" w:hAnsi="宋体"/>
          <w:sz w:val="22"/>
          <w:szCs w:val="22"/>
        </w:rPr>
        <w:t>承包人应该接受发包人安保部门的监督、检查和指导，积极落实发包方安保部门发出的整改指令。</w:t>
      </w:r>
    </w:p>
    <w:p>
      <w:pPr>
        <w:snapToGrid w:val="0"/>
        <w:spacing w:line="360" w:lineRule="auto"/>
        <w:ind w:firstLine="480"/>
        <w:rPr>
          <w:rFonts w:ascii="宋体" w:hAnsi="宋体"/>
          <w:sz w:val="22"/>
          <w:szCs w:val="22"/>
        </w:rPr>
      </w:pPr>
      <w:r>
        <w:rPr>
          <w:rFonts w:hint="eastAsia" w:ascii="宋体" w:hAnsi="宋体"/>
          <w:sz w:val="22"/>
          <w:szCs w:val="22"/>
        </w:rPr>
        <w:t>三、其他</w:t>
      </w:r>
    </w:p>
    <w:p>
      <w:pPr>
        <w:snapToGrid w:val="0"/>
        <w:spacing w:line="360" w:lineRule="auto"/>
        <w:ind w:firstLine="480"/>
        <w:rPr>
          <w:rFonts w:ascii="宋体" w:hAnsi="宋体"/>
          <w:sz w:val="22"/>
          <w:szCs w:val="22"/>
        </w:rPr>
      </w:pPr>
      <w:r>
        <w:rPr>
          <w:rFonts w:ascii="宋体" w:hAnsi="宋体"/>
          <w:sz w:val="22"/>
          <w:szCs w:val="22"/>
        </w:rPr>
        <w:t>1</w:t>
      </w:r>
      <w:r>
        <w:rPr>
          <w:rFonts w:hint="eastAsia" w:ascii="宋体" w:hAnsi="宋体"/>
          <w:sz w:val="22"/>
          <w:szCs w:val="22"/>
        </w:rPr>
        <w:t>．本协议中未涉及到的有关条款，甲乙双方可根据需要协商补充修改。如遇有与国家和本市的有关部门法规不符的应按国家和本市的有关规定执行。</w:t>
      </w:r>
    </w:p>
    <w:p>
      <w:pPr>
        <w:snapToGrid w:val="0"/>
        <w:spacing w:line="360" w:lineRule="auto"/>
        <w:ind w:firstLine="480"/>
        <w:rPr>
          <w:rFonts w:ascii="宋体" w:hAnsi="宋体"/>
          <w:sz w:val="22"/>
          <w:szCs w:val="22"/>
        </w:rPr>
      </w:pPr>
      <w:r>
        <w:rPr>
          <w:rFonts w:ascii="宋体" w:hAnsi="宋体"/>
          <w:sz w:val="22"/>
          <w:szCs w:val="22"/>
        </w:rPr>
        <w:t>2</w:t>
      </w:r>
      <w:r>
        <w:rPr>
          <w:rFonts w:hint="eastAsia" w:ascii="宋体" w:hAnsi="宋体"/>
          <w:sz w:val="22"/>
          <w:szCs w:val="22"/>
        </w:rPr>
        <w:t>．本协议作为工程合同的附件在工程合同正式签约后生效，与工程合同具有同等法律效力。工程合同期满，本协议终止。</w:t>
      </w:r>
    </w:p>
    <w:p>
      <w:pPr>
        <w:snapToGrid w:val="0"/>
        <w:spacing w:line="360" w:lineRule="auto"/>
        <w:ind w:firstLine="480"/>
        <w:rPr>
          <w:rFonts w:ascii="宋体" w:hAnsi="宋体"/>
          <w:sz w:val="22"/>
          <w:szCs w:val="22"/>
        </w:rPr>
      </w:pPr>
      <w:r>
        <w:rPr>
          <w:rFonts w:hint="eastAsia" w:ascii="宋体" w:hAnsi="宋体"/>
          <w:sz w:val="22"/>
          <w:szCs w:val="22"/>
        </w:rPr>
        <w:t>发包人：（盖章）</w:t>
      </w:r>
      <w:r>
        <w:rPr>
          <w:rFonts w:ascii="宋体" w:hAnsi="宋体"/>
          <w:sz w:val="22"/>
          <w:szCs w:val="22"/>
        </w:rPr>
        <w:t xml:space="preserve">                     </w:t>
      </w:r>
      <w:r>
        <w:rPr>
          <w:rFonts w:hint="eastAsia" w:ascii="宋体" w:hAnsi="宋体"/>
          <w:sz w:val="22"/>
          <w:szCs w:val="22"/>
        </w:rPr>
        <w:t>承包人：（盖章）</w:t>
      </w:r>
    </w:p>
    <w:p>
      <w:pPr>
        <w:snapToGrid w:val="0"/>
        <w:spacing w:line="360" w:lineRule="auto"/>
        <w:ind w:firstLine="480"/>
        <w:rPr>
          <w:rFonts w:ascii="宋体" w:hAnsi="宋体"/>
          <w:sz w:val="22"/>
          <w:szCs w:val="22"/>
        </w:rPr>
      </w:pPr>
    </w:p>
    <w:p>
      <w:pPr>
        <w:snapToGrid w:val="0"/>
        <w:spacing w:line="360" w:lineRule="auto"/>
        <w:ind w:firstLine="480"/>
        <w:rPr>
          <w:rFonts w:ascii="宋体" w:hAnsi="宋体"/>
          <w:sz w:val="22"/>
          <w:szCs w:val="22"/>
        </w:rPr>
      </w:pPr>
      <w:r>
        <w:rPr>
          <w:rFonts w:hint="eastAsia" w:ascii="宋体" w:hAnsi="宋体"/>
          <w:sz w:val="22"/>
          <w:szCs w:val="22"/>
        </w:rPr>
        <w:t>法定代表人：</w:t>
      </w:r>
      <w:r>
        <w:rPr>
          <w:rFonts w:ascii="宋体" w:hAnsi="宋体"/>
          <w:sz w:val="22"/>
          <w:szCs w:val="22"/>
        </w:rPr>
        <w:t xml:space="preserve">                        </w:t>
      </w:r>
      <w:r>
        <w:rPr>
          <w:rFonts w:hint="eastAsia" w:ascii="宋体" w:hAnsi="宋体"/>
          <w:sz w:val="22"/>
          <w:szCs w:val="22"/>
        </w:rPr>
        <w:t>法定代表人：</w:t>
      </w:r>
    </w:p>
    <w:p>
      <w:pPr>
        <w:snapToGrid w:val="0"/>
        <w:spacing w:line="360" w:lineRule="auto"/>
        <w:ind w:firstLine="480"/>
        <w:rPr>
          <w:rFonts w:ascii="宋体" w:hAnsi="宋体"/>
          <w:sz w:val="22"/>
          <w:szCs w:val="22"/>
        </w:rPr>
      </w:pPr>
      <w:r>
        <w:rPr>
          <w:rFonts w:ascii="宋体" w:hAnsi="宋体"/>
          <w:sz w:val="22"/>
          <w:szCs w:val="22"/>
        </w:rPr>
        <w:t xml:space="preserve">                        </w:t>
      </w:r>
    </w:p>
    <w:p>
      <w:pPr>
        <w:snapToGrid w:val="0"/>
        <w:spacing w:line="360" w:lineRule="auto"/>
        <w:ind w:firstLine="480"/>
        <w:rPr>
          <w:rFonts w:ascii="宋体" w:hAnsi="宋体"/>
          <w:sz w:val="22"/>
          <w:szCs w:val="22"/>
        </w:rPr>
      </w:pPr>
      <w:r>
        <w:rPr>
          <w:rFonts w:hint="eastAsia" w:ascii="宋体" w:hAnsi="宋体"/>
          <w:sz w:val="22"/>
          <w:szCs w:val="22"/>
        </w:rPr>
        <w:t>签约日期：</w:t>
      </w:r>
    </w:p>
    <w:p>
      <w:pPr>
        <w:snapToGrid w:val="0"/>
        <w:spacing w:line="360" w:lineRule="auto"/>
        <w:ind w:firstLine="480"/>
        <w:rPr>
          <w:rFonts w:ascii="宋体" w:hAnsi="宋体"/>
          <w:sz w:val="22"/>
          <w:szCs w:val="22"/>
        </w:rPr>
      </w:pPr>
    </w:p>
    <w:p>
      <w:pPr>
        <w:pStyle w:val="37"/>
        <w:widowControl/>
        <w:spacing w:before="100" w:beforeAutospacing="1" w:after="100" w:afterAutospacing="1" w:line="360" w:lineRule="auto"/>
        <w:ind w:firstLine="0" w:firstLineChars="0"/>
        <w:rPr>
          <w:rFonts w:ascii="Arial" w:hAnsi="Arial" w:cs="Arial"/>
          <w:b/>
          <w:bCs/>
          <w:color w:val="222222"/>
          <w:kern w:val="36"/>
          <w:sz w:val="48"/>
          <w:szCs w:val="48"/>
        </w:rPr>
      </w:pPr>
    </w:p>
    <w:p>
      <w:pPr>
        <w:pStyle w:val="37"/>
        <w:widowControl/>
        <w:spacing w:before="100" w:beforeAutospacing="1" w:after="100" w:afterAutospacing="1" w:line="360" w:lineRule="auto"/>
        <w:ind w:firstLine="0" w:firstLineChars="0"/>
        <w:rPr>
          <w:rFonts w:ascii="Arial" w:hAnsi="Arial" w:cs="Arial"/>
          <w:b/>
          <w:bCs/>
          <w:color w:val="222222"/>
          <w:kern w:val="36"/>
          <w:sz w:val="48"/>
          <w:szCs w:val="48"/>
        </w:rPr>
      </w:pPr>
    </w:p>
    <w:p>
      <w:pPr>
        <w:pStyle w:val="3"/>
        <w:rPr>
          <w:color w:val="000000"/>
        </w:rPr>
      </w:pPr>
      <w:bookmarkStart w:id="530" w:name="_Toc21479"/>
      <w:r>
        <w:rPr>
          <w:rFonts w:hint="eastAsia"/>
          <w:color w:val="000000"/>
        </w:rPr>
        <w:t>第五章  工程量清单</w:t>
      </w:r>
      <w:bookmarkEnd w:id="145"/>
      <w:bookmarkEnd w:id="146"/>
      <w:bookmarkEnd w:id="147"/>
      <w:bookmarkEnd w:id="530"/>
    </w:p>
    <w:p>
      <w:pPr>
        <w:pStyle w:val="4"/>
        <w:jc w:val="both"/>
        <w:rPr>
          <w:rFonts w:asciiTheme="minorEastAsia" w:hAnsiTheme="minorEastAsia" w:eastAsiaTheme="minorEastAsia" w:cstheme="minorEastAsia"/>
        </w:rPr>
      </w:pPr>
      <w:bookmarkStart w:id="531" w:name="_Toc364682211"/>
      <w:bookmarkStart w:id="532" w:name="_Toc364679599"/>
      <w:bookmarkStart w:id="533" w:name="_Toc28678"/>
      <w:r>
        <w:rPr>
          <w:rFonts w:hint="eastAsia" w:asciiTheme="minorEastAsia" w:hAnsiTheme="minorEastAsia" w:eastAsiaTheme="minorEastAsia" w:cstheme="minorEastAsia"/>
        </w:rPr>
        <w:t>1.工程量清单说明</w:t>
      </w:r>
      <w:bookmarkEnd w:id="531"/>
      <w:bookmarkEnd w:id="532"/>
      <w:bookmarkEnd w:id="533"/>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本工程量清单是依据中华人民共和国国家标准《建设工程工程量清单计价规范》及其《上海市建设工程工程量清单计价应用规则》（两者以下简称“计价规范”）和磋商文件中包括的图纸等编制。计价规范中规定的工程量计算规则中没有的子目，应在本章第1.4款约定；计价规范中规定的工程量计算规则中没有且本章第1.4款也未约定的，双方协商确定；协商不成的，可向本市工程造价管理部门咨询或按照有合同约束力的图纸所标示尺寸的理论净量计算。计量采用中华人民共和国法定的基本计量单位。</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1.2本工程量清单应与磋商文件中的供应商须知、通用合同条款、专用合同条款、技术标准和要求及图纸等章节内容一起阅读和理解。</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1.3本工程量清单是磋商报价的共同基础，竣工结算的工程量按合同约定确定。合同价格的确定以及价款支付应遵循合同条款(包括通用合同条款和专用合同条款)、技术标准和要求以及本章的有关约定。</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1.4本条第1.1款中约定的计量和计价规则适用于合同履约过程中工程量计量与价款支付、工程变更、索赔和工程结算。</w:t>
      </w:r>
    </w:p>
    <w:p>
      <w:pPr>
        <w:spacing w:line="360" w:lineRule="auto"/>
        <w:ind w:firstLine="399" w:firstLineChars="202"/>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1.5本条与下述第2条和第3条的说明内容是构成合同文件的已标价工程量清单的组成部分。</w:t>
      </w:r>
    </w:p>
    <w:p>
      <w:pPr>
        <w:pStyle w:val="4"/>
        <w:jc w:val="left"/>
        <w:rPr>
          <w:rFonts w:asciiTheme="minorEastAsia" w:hAnsiTheme="minorEastAsia" w:eastAsiaTheme="minorEastAsia" w:cstheme="minorEastAsia"/>
        </w:rPr>
      </w:pPr>
      <w:bookmarkStart w:id="534" w:name="_Toc12893"/>
      <w:bookmarkStart w:id="535" w:name="_Toc364679600"/>
      <w:bookmarkStart w:id="536" w:name="_Toc364682212"/>
      <w:r>
        <w:rPr>
          <w:rFonts w:hint="eastAsia" w:asciiTheme="minorEastAsia" w:hAnsiTheme="minorEastAsia" w:eastAsiaTheme="minorEastAsia" w:cstheme="minorEastAsia"/>
        </w:rPr>
        <w:t>2.磋商报价说明</w:t>
      </w:r>
      <w:bookmarkEnd w:id="534"/>
      <w:bookmarkEnd w:id="535"/>
      <w:bookmarkEnd w:id="536"/>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2.1磋商报价应根据磋商文件中的有关计价要求，并按照下列依据自主报价。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(1)本磋商文件；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(2)《建设工程工程量清单计价规范》及其《上海市建设工程工程量清单计价应用规则》；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(3)国家或本市建设主管部门颁发的计价办法；</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(4)企业定额，国家或本市建设主管部门颁发的计价标准（定额）；</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(5)补充磋商文件；</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(6)建设工程设计文件及相关资料；</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(7)施工现场情况、工程特点及拟定的响应文件施工组织设计或施工方案；</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(8)与建设项目相关的标准、规定等技术资料；</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(9)市场价格信息或工程造价管理机构发布的工程造价信息。</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(10)其他的相关资料。</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2.2工程量清单中的每一子目须填入单价或价格，且只允许有一个报价。</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2.3工程量清单中标价的单价或金额，应包括所需人工费、材料费、施工机械使用费、企业管理费和利润，以及合同约定的风险费用。</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海市建设工程施工费用计算按照《关于实施建筑业营业税改增值税调整本市建设工程计价依据的通知》及其附件《最高投标限价相关费率取费标准（增值税）》和《上海市建工程施工费用计算规则（增值税）》（沪建市管〔2016〕42号文）、</w:t>
      </w:r>
      <w:r>
        <w:rPr>
          <w:rFonts w:hint="eastAsia" w:ascii="宋体" w:hAnsi="宋体"/>
        </w:rPr>
        <w:t>《关于调整本市建设工程计价依据增值税税率等有关事项的通知》（沪建市管【2019】19号）</w:t>
      </w:r>
      <w:r>
        <w:rPr>
          <w:rFonts w:hint="eastAsia" w:asciiTheme="minorEastAsia" w:hAnsiTheme="minorEastAsia" w:eastAsiaTheme="minorEastAsia" w:cstheme="minorEastAsia"/>
          <w:szCs w:val="21"/>
        </w:rPr>
        <w:t>执行。</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2.4已标价工程量清单中供应商没有填入单价或价格的子目，其费用视为已分摊在工程量清单中其他已标价的相关子目的单价或价格之中（适用总价合同）。</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磋商报价汇总表”中的磋商总价由分部分项工程费、措施项目费、其他项目费、规费和增值税组成，并且“磋商报价汇总表”中的磋商总价应当与构成已标价工程量清单的分部分项工程费、措施项目费、其他项目费、规费、增值税的合计金额一致。</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 分部分项工程项目按下列要求报价：</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2.6.1分部分项工程量清单计价应依据计价规范中关于综合单价的组成内容确定报价。</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2.6.2 如果分部分项工程量清单中涉及“材料和工程设备暂估单价表”中列出的材料和工程设备，则按照本节第3.3.2项的报价原则，将该类材料和工程设备的暂估单价本身以及除对应的规费及增值税以外的费用计入分部分项工程量清单相应子目的综合单价。</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2.6.3 分部分项工程量清单中涉及发包人提供的材料（设备）中列出的材料和设备，其供应至现场指定位置的采购供应价计入磋商报价（可以考虑简易计税方法计税）。</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分部分项工程量清单与计价表”所列各子目的综合单价组成中，各子目的人工、材料和机械台班消耗量由供应商按照其自身情况做充分的、竞争性考虑。材料消耗量包括损耗量。主要分部分项项目（工程量清单中勾选的项目），磋商报价中必须给出详细的综合单价组价分析，且组价内容必须包含完整的项目工作内容。</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2.6.5 供应商在响应文件中提交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磋商报价中考虑。</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 措施项目按下列要求报价：</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2.7.1措施项目清单计价应根据供应商的施工组织设计进行报价。可以计量工程量的措施项目，应按分部分项工程量清单的方式采用综合单价计价；其余的措施项目可以“项”为单位的方式计价。 </w:t>
      </w:r>
    </w:p>
    <w:p>
      <w:pPr>
        <w:spacing w:line="360" w:lineRule="auto"/>
        <w:ind w:firstLine="426" w:firstLineChars="202"/>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2.7.2措施项目清单中的安全防护、文明施工措施费应进行费用明细报价，其合计金额不得低于以分部分项工程费为基数，乘以最低费率</w:t>
      </w:r>
      <w:r>
        <w:rPr>
          <w:rFonts w:hint="eastAsia" w:asciiTheme="minorEastAsia" w:hAnsiTheme="minorEastAsia" w:eastAsiaTheme="minorEastAsia" w:cstheme="minorEastAsia"/>
          <w:b/>
          <w:bCs/>
          <w:szCs w:val="21"/>
          <w:u w:val="single"/>
          <w:lang w:val="en-US" w:eastAsia="zh-CN"/>
        </w:rPr>
        <w:t>3.3</w:t>
      </w:r>
      <w:r>
        <w:rPr>
          <w:rFonts w:hint="eastAsia" w:asciiTheme="minorEastAsia" w:hAnsiTheme="minorEastAsia" w:eastAsiaTheme="minorEastAsia" w:cstheme="minorEastAsia"/>
          <w:b/>
          <w:bCs/>
          <w:szCs w:val="21"/>
        </w:rPr>
        <w:t>%的90%（即</w:t>
      </w:r>
      <w:r>
        <w:rPr>
          <w:rFonts w:hint="eastAsia" w:asciiTheme="minorEastAsia" w:hAnsiTheme="minorEastAsia" w:eastAsiaTheme="minorEastAsia" w:cstheme="minorEastAsia"/>
          <w:b/>
          <w:bCs/>
          <w:szCs w:val="21"/>
          <w:u w:val="single"/>
          <w:lang w:val="en-US" w:eastAsia="zh-CN"/>
        </w:rPr>
        <w:t>2.97</w:t>
      </w:r>
      <w:r>
        <w:rPr>
          <w:rFonts w:hint="eastAsia" w:asciiTheme="minorEastAsia" w:hAnsiTheme="minorEastAsia" w:eastAsiaTheme="minorEastAsia" w:cstheme="minorEastAsia"/>
          <w:b/>
          <w:bCs/>
          <w:szCs w:val="21"/>
        </w:rPr>
        <w:t>%）。（最低费率与上限费率应根据《上海市建设工程安全防护、文明施工措施费用管理暂行规定》（沪建交〔2006〕445号）明确）。</w:t>
      </w:r>
    </w:p>
    <w:p>
      <w:pPr>
        <w:tabs>
          <w:tab w:val="left" w:pos="720"/>
        </w:tabs>
        <w:spacing w:line="360" w:lineRule="auto"/>
        <w:ind w:left="61" w:leftChars="29"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招标人提供的措施项目清单中所列项目指一般的通用项目，供应商在报价时应充分、全面地阅读和理解磋商文件的相关内容和约定，详实了解工程场地及其周围环境，充分考虑招标工程特点及拟定的施工方案和施工组织设计，对招标人给出的措施项目清单的内容进行细化或增减。重要措施项目报价应与施工组织设计相符，并开列措施项目费用的明细清单；</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2.7.4“措施项目清单与计价表”中所填写的报价金额，应全面涵盖磋商文件约定的供应商中标后施工、竣工、交付本工程并维修其任何缺陷所需要履行的责任和义务的全部费用。</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2.7.5对于“措施项目清单与计价表”中所填写的报价金额，应按照“措施项目清单报价分析表”对措施项目报价的组成进行详细的列项和分析。</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2.8其他项目清单费应按下列规定报价：</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2.8.1暂列金额按“暂列金额明细表”中列出的金额报价，此处的暂列金额是招标人在磋商文件中统一给定的。</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2.8.2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2.8.3计日工按“计日工表”中列出的子目和估算数量，自主确定综合单价并计算计日工金额。计日工综合单价均不包括规费和增值税，其中：</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劳务单价应当包括工人工资、交通费用、各种补贴、劳动安全保护、个人应缴纳的社保费用、手提手动和电动工器具、施工场地内已经搭设的脚手架、水电和低值易耗品费用、现场管理费用、企业管理费和利润；</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(2)材料价格包括材料运到现场的价格以及现场搬运、仓储、二次搬运、损耗、保险、企业管理费和利润；</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(3)施工机械限于在施工场地(现场)的机械设备，其价格包括租赁或折旧、维修、维护和燃油等消耗品以及操作人员费用，包括承包人企业管理费和利润，但不包括规费和增值税。辅助人员按劳务价格另计。</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2.8.4总承包服务费根据磋商文件中列出的内容和要求，按“总承包服务费计价表”所列格式自主报价。</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2.9规费</w:t>
      </w:r>
    </w:p>
    <w:p>
      <w:pPr>
        <w:tabs>
          <w:tab w:val="left" w:pos="72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2.9.1社会保险费：社会保险费以以分部分项工程、单项措施和专业暂估价中的人工费为基数，其中专业暂估价中的人工费按专业暂估价的20%计算。社会保险费包括管理人员和生产工人的社会保险费，管理人员和生产工人社会保险费费率固定统一。该费用由供应商在磋商时填报。两项合计后列入评标总价参与评标。各类工程社会保险费费率按工程造价管理部门发布的费率计算（</w:t>
      </w:r>
      <w:r>
        <w:rPr>
          <w:rFonts w:asciiTheme="minorEastAsia" w:hAnsiTheme="minorEastAsia" w:eastAsiaTheme="minorEastAsia" w:cstheme="minorEastAsia"/>
          <w:szCs w:val="21"/>
        </w:rPr>
        <w:t>关于调整本市建设工程造价中社会保险费率的通知 沪建市管（2019）24号</w:t>
      </w:r>
      <w:r>
        <w:rPr>
          <w:rFonts w:hint="eastAsia" w:asciiTheme="minorEastAsia" w:hAnsiTheme="minorEastAsia" w:eastAsiaTheme="minorEastAsia" w:cstheme="minorEastAsia"/>
          <w:szCs w:val="21"/>
        </w:rPr>
        <w:t>）。</w:t>
      </w:r>
    </w:p>
    <w:p>
      <w:pPr>
        <w:tabs>
          <w:tab w:val="left" w:pos="72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2.9.2住房公积金：以分部分项工程、单项措施和专业暂估价中的人工费为基数，其中专业暂估价中的人工费按专业暂估价的20%计算。房屋建筑与装饰工程、建筑工程（土建部分）按该基数乘以1.96%计算；安装工程按该基数乘以1.59%计算（关于调整本市建设工程造价中社会保险费率的通知 沪建市管（2019）24号）。</w:t>
      </w:r>
    </w:p>
    <w:p>
      <w:pPr>
        <w:tabs>
          <w:tab w:val="left" w:pos="72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注：工程排污费：按本市相关规定计入建设工程材料价格信息发布的水费价格内。</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2.10  增值税</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2.10.1</w:t>
      </w:r>
      <w:r>
        <w:rPr>
          <w:rFonts w:hint="eastAsia"/>
        </w:rPr>
        <w:t>国家税法规定的应计入建设工程造价内的增值税，即为当期销项税额。当期销项税额=税前工程造价×增值税税率。增值税税率为9%。</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2.10.2 税前工程造价为人工费、材料费、工程设备费和施工机具使用费、企业管理费、利润和规费之和，各费用项目均以不包含增值税可抵扣进项税额的价格计算。</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工程量清单计价所涉及的生产资源(包括各类人工、材料、工程设备、施工设备、临时设施、临时用水、临时用电等)的磋商价格，应根据自身的信息渠道和采购渠道，分析其市场价格水平并判断其整个施工周期内的变化趋势，体现供应商自身的管理水平、技术水平和综合实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企业管理费包括城市维护建设税、教育费附加、地方教育费附加及河道管理费等附加税费。企业管理费应由供应商在保证不低于其成本的基础上做竞争性考虑；利润由供应商根据自身情况和综合实力做竞争性考虑。</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2.13供应商在磋商报价中应考虑磋商文件中要求供应商承担的风险范围以及相关的费用。磋商总价除暂列金额、暂估价外均应按规自主确定报价，但不得低于其成本。</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2.14 磋商总价为供应商在响应文件中提出的各项支付金额的总和，为实施、完成招标工程并修补缺陷以及履行磋商文件中约定的风险范围内的所有责任和义务所发生的全部费用。</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2.15 有关磋商报价的其他说明：</w:t>
      </w:r>
    </w:p>
    <w:p>
      <w:pPr>
        <w:pStyle w:val="9"/>
      </w:pPr>
    </w:p>
    <w:p>
      <w:pPr>
        <w:pStyle w:val="4"/>
        <w:jc w:val="left"/>
        <w:rPr>
          <w:rFonts w:asciiTheme="minorEastAsia" w:hAnsiTheme="minorEastAsia" w:eastAsiaTheme="minorEastAsia" w:cstheme="minorEastAsia"/>
        </w:rPr>
      </w:pPr>
      <w:bookmarkStart w:id="537" w:name="_Toc364679601"/>
      <w:bookmarkStart w:id="538" w:name="_Toc364682213"/>
      <w:bookmarkStart w:id="539" w:name="_Toc359"/>
      <w:r>
        <w:rPr>
          <w:rFonts w:hint="eastAsia" w:asciiTheme="minorEastAsia" w:hAnsiTheme="minorEastAsia" w:eastAsiaTheme="minorEastAsia" w:cstheme="minorEastAsia"/>
        </w:rPr>
        <w:t>3.其他说明</w:t>
      </w:r>
      <w:bookmarkEnd w:id="537"/>
      <w:bookmarkEnd w:id="538"/>
      <w:bookmarkEnd w:id="539"/>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3.1词语和定义</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3.1.1工程量清单</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是表现本工程分部分项工程项目、措施项目、其他项目、规费项目和增值税的名称和相应数量等的明细清单。</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3.1.2 总价子目</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3.1.3 单价子目</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工程量清单中以单价计价，根据有合同约束力的图纸和工程量计算规则进行计量，以实际完成数量乘以相应单价进行结算的子目。</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3.1.4 子目编码</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分部分项工程项目清单中所列的子目名称的数字标识和代码，子目编码与项目编码同义。</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3.1.5 子目特征</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构成分部分项工程项目清单子目、措施项目的实质内容、决定其自身价值的本质特征，子目特征与项目特征同义。</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3.1.6 规费</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承包人根据省级政府或省级政府有关部门规定必须缴纳的，应计入建筑安装工程造价的费用。</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3.1.7 增值税</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国家税法规定的应计入建设工程造价内的增值税，即为当期销项税额。增值税税率为10%。</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3.1.8 总承包服务费</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总承包人为配合协调发包人发包的专业工程以及发包人采购的材料和工程设备等进行管理、服务以及施工现场管理、竣工资料汇总整理等所需的费用。</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3.1.9 同义词语</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本章中使用的词语“招标人”和“供应商”分别与合同条款中定义的“发包人”和“承包人”同义；就工程量清单而言，“子目”与“项目”同义。</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3.2工程量差异调整</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3.2.1工程量清单中的工作内容分类、子目列项、特征描述、工作内容以及“分部分项工程量清单与计价表”中附带的工程量都不应理解为是对承包(招标)范围以及合同工作内容的唯一的、最终的或全部的定义。</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3.2.2供应商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供应商经过检查和复核以后认为招标人提供的工程量清单存在差异，则供应商应将此类差异的详细情况连同按供应商须知规定提交的要求招标人澄清的其他问题一起提交给招标人，招标人将根据实际情况决定是否颁发工程量清单的补充和(或)修改文件。（本条适用总价合同）</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3.2.3如果招标人在检查供应商根据上文第3.2.2项提交的工程量差异问题后认为没有必要对工程量清单进行补充和(或)修改，或者招标人根据上文第3.2.2项对工程量清单进行了补充和(或)修改，但供应商认为工程量清单中的工程量依然存在差异，则此类差异不再提交招标人答疑和修正，而是直接按招标人提供的工程量清单(包括招标人可能的补充和(或)修改)进行磋商报价（适用总价合同）。供应商在按照工程量清单进行报价时，除按照本节2.7.3项要求对招标人提供的措施项目清单的内容进行细化或增减外，不得改变(包括对工程量清单子目的子目名称、子目特征描述、工作内容、计量单位以及工程量的任何修改、增加或减少)招标人提供的分部分项工程量清单和其他项目清单。即使按照图纸和招标范围的约定并不存在的子目，只要在招标人提供的分部分项工程量清单中已经列明，供应商都需要对其报价，并纳入磋商总价的计算。</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3.3暂列金额和暂估价</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3.3.1“暂列金额明细表”中所列暂列金额中已经包含与其对应的管理费、利润，但不含规费和增值税。供应商应按本磋商文件规定将此类暂列金额直接纳入其他项目清单的磋商价格并计取相应的规费和增值税，不需要考虑除规费和增值税以外的其他任何费用。</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3.3.2“材料和工程设备暂估价表”中所列的材料和工程设备暂估价是此类材料、工程设备本身运至施工现场内的工地地面价，不包括其本身所对应的管理费、利润、规费、增值税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增值税。除应按本磋商文件规定将此类暂估价本身纳入分部分项工程量清单相应子目的综合单价以外，供应商还应将上述材料和工程设备的安装及辅助工作所发生的费用以及与此类费用有关的管理费和利润包含在分部分项工程量清单相应子目的综合单价中，并计取相应的规费和增值税。</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3.3.3专业工程暂估价表中所列的专业工程暂估价已经包含与其对应的管理费、利润，但不含规费和增值税。供应商应按本磋商文件规定将此类暂估价直接纳入其他项目清单的磋商价格并计取相应的规费和增值税。除按本磋商文件规定将此类暂估价纳入其他项目清单的磋商价格并计取相应的规费和增值税以外，供应商还需要根据磋商文件规定的内容考虑相应的总承包服务费以及与总承包服务费有关的规费和增值税。</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3.4其他补充说明</w:t>
      </w:r>
    </w:p>
    <w:p>
      <w:pPr>
        <w:pStyle w:val="9"/>
      </w:pPr>
    </w:p>
    <w:p>
      <w:pPr>
        <w:pStyle w:val="4"/>
        <w:jc w:val="left"/>
        <w:rPr>
          <w:rFonts w:asciiTheme="minorEastAsia" w:hAnsiTheme="minorEastAsia" w:eastAsiaTheme="minorEastAsia" w:cstheme="minorEastAsia"/>
        </w:rPr>
      </w:pPr>
      <w:bookmarkStart w:id="540" w:name="_Toc364682214"/>
      <w:bookmarkStart w:id="541" w:name="_Toc14664"/>
      <w:bookmarkStart w:id="542" w:name="_Toc364679602"/>
      <w:r>
        <w:rPr>
          <w:rFonts w:hint="eastAsia" w:asciiTheme="minorEastAsia" w:hAnsiTheme="minorEastAsia" w:eastAsiaTheme="minorEastAsia" w:cstheme="minorEastAsia"/>
        </w:rPr>
        <w:t>4.工程量清单与计价表</w:t>
      </w:r>
      <w:bookmarkEnd w:id="540"/>
      <w:bookmarkEnd w:id="541"/>
      <w:bookmarkEnd w:id="542"/>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4.1已标价工程量清单封面——磋商总价及磋商报价总说明</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4.2建设工程磋商报价汇总表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4.3分部分项工程量清单报价汇总表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4.4分部分项工程量清单与计价表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4.5措施项目清单与计价汇总表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4.5.1安全防护、文明施工措施清单与费用明细表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4.5.2其他措施项目清单与计价表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4.5.3单价措施项目清单与计价表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4.6其他项目清单与计价汇总表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4.6.1暂列金额明细表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4.6.2材料暂估单价表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4.6.3专业工程暂估价表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4.6.4计日工表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4.6.5总承包服务费计价表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4.7规费、增值税项目清单与计价表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4.8主要综合单价分析项目汇总表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4.9主要材料（设备）数量与计价表</w:t>
      </w:r>
    </w:p>
    <w:p>
      <w:pPr>
        <w:spacing w:line="360" w:lineRule="auto"/>
        <w:ind w:left="422" w:leftChars="201" w:right="8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4.10工程量清单综合单价分析表</w:t>
      </w:r>
    </w:p>
    <w:p>
      <w:pPr>
        <w:pStyle w:val="11"/>
        <w:snapToGrid w:val="0"/>
        <w:spacing w:line="480" w:lineRule="auto"/>
        <w:ind w:firstLine="210" w:firstLineChars="100"/>
        <w:jc w:val="left"/>
        <w:outlineLvl w:val="0"/>
        <w:rPr>
          <w:rFonts w:hint="eastAsia" w:hAnsi="宋体"/>
          <w:b/>
          <w:bCs/>
          <w:sz w:val="18"/>
          <w:szCs w:val="18"/>
        </w:rPr>
      </w:pPr>
      <w:bookmarkStart w:id="543" w:name="_Toc15361"/>
      <w:bookmarkStart w:id="544" w:name="_Toc8178"/>
      <w:r>
        <w:rPr>
          <w:rFonts w:hint="eastAsia" w:asciiTheme="minorEastAsia" w:hAnsiTheme="minorEastAsia" w:eastAsiaTheme="minorEastAsia" w:cstheme="minorEastAsia"/>
        </w:rPr>
        <w:t>（附表略）</w:t>
      </w:r>
      <w:r>
        <w:rPr>
          <w:rFonts w:hint="eastAsia" w:hAnsi="宋体"/>
          <w:b/>
          <w:bCs/>
          <w:sz w:val="18"/>
          <w:szCs w:val="18"/>
        </w:rPr>
        <w:t>工程量清单另附。</w:t>
      </w:r>
      <w:bookmarkEnd w:id="543"/>
      <w:bookmarkEnd w:id="544"/>
    </w:p>
    <w:p>
      <w:pPr>
        <w:pStyle w:val="11"/>
        <w:snapToGrid w:val="0"/>
        <w:spacing w:line="480" w:lineRule="auto"/>
        <w:ind w:firstLine="181" w:firstLineChars="100"/>
        <w:jc w:val="left"/>
        <w:outlineLvl w:val="0"/>
        <w:rPr>
          <w:rFonts w:hint="eastAsia" w:hAnsi="宋体"/>
          <w:b/>
          <w:bCs/>
          <w:sz w:val="18"/>
          <w:szCs w:val="18"/>
        </w:rPr>
      </w:pPr>
    </w:p>
    <w:p>
      <w:pPr>
        <w:pStyle w:val="11"/>
        <w:snapToGrid w:val="0"/>
        <w:spacing w:line="480" w:lineRule="auto"/>
        <w:ind w:firstLine="181" w:firstLineChars="100"/>
        <w:jc w:val="left"/>
        <w:outlineLvl w:val="0"/>
        <w:rPr>
          <w:rFonts w:hint="eastAsia" w:hAnsi="宋体"/>
          <w:b/>
          <w:bCs/>
          <w:sz w:val="18"/>
          <w:szCs w:val="18"/>
        </w:rPr>
      </w:pPr>
    </w:p>
    <w:p>
      <w:pPr>
        <w:pStyle w:val="3"/>
        <w:ind w:left="3780"/>
        <w:jc w:val="both"/>
      </w:pPr>
      <w:bookmarkStart w:id="545" w:name="_Toc354060247"/>
      <w:bookmarkStart w:id="546" w:name="_Toc20397"/>
      <w:r>
        <w:rPr>
          <w:rFonts w:hint="eastAsia"/>
        </w:rPr>
        <w:t xml:space="preserve">第六章 </w:t>
      </w:r>
      <w:bookmarkEnd w:id="545"/>
      <w:bookmarkStart w:id="547" w:name="_Toc28182"/>
      <w:bookmarkStart w:id="548" w:name="_Toc21015"/>
      <w:r>
        <w:rPr>
          <w:rFonts w:hint="eastAsia"/>
        </w:rPr>
        <w:t>响应文件格式</w:t>
      </w:r>
      <w:bookmarkEnd w:id="546"/>
      <w:bookmarkEnd w:id="547"/>
      <w:bookmarkEnd w:id="548"/>
    </w:p>
    <w:p>
      <w:pPr>
        <w:rPr>
          <w:rFonts w:ascii="黑体"/>
          <w:sz w:val="36"/>
          <w:szCs w:val="36"/>
        </w:rPr>
      </w:pPr>
      <w:r>
        <w:rPr>
          <w:rFonts w:hint="eastAsia" w:ascii="黑体"/>
          <w:sz w:val="36"/>
          <w:szCs w:val="36"/>
        </w:rPr>
        <w:t xml:space="preserve">              </w:t>
      </w:r>
      <w:r>
        <w:rPr>
          <w:rFonts w:hint="eastAsia" w:ascii="黑体"/>
          <w:sz w:val="36"/>
          <w:szCs w:val="36"/>
          <w:u w:val="single"/>
        </w:rPr>
        <w:t xml:space="preserve">               </w:t>
      </w:r>
      <w:r>
        <w:rPr>
          <w:rFonts w:hint="eastAsia" w:ascii="黑体"/>
          <w:sz w:val="36"/>
          <w:szCs w:val="36"/>
        </w:rPr>
        <w:t xml:space="preserve"> 项目施工招标</w:t>
      </w:r>
    </w:p>
    <w:p>
      <w:pPr>
        <w:spacing w:beforeLines="100"/>
        <w:jc w:val="center"/>
        <w:rPr>
          <w:rFonts w:ascii="黑体" w:eastAsia="黑体"/>
          <w:sz w:val="36"/>
          <w:szCs w:val="36"/>
        </w:rPr>
      </w:pPr>
      <w:r>
        <w:rPr>
          <w:rFonts w:hint="eastAsia" w:ascii="黑体" w:eastAsia="黑体"/>
          <w:sz w:val="36"/>
          <w:szCs w:val="36"/>
        </w:rPr>
        <w:t>响  应  文  件</w:t>
      </w:r>
    </w:p>
    <w:p>
      <w:pPr>
        <w:jc w:val="center"/>
        <w:rPr>
          <w:rFonts w:ascii="黑体" w:eastAsia="黑体"/>
          <w:sz w:val="32"/>
          <w:szCs w:val="32"/>
        </w:rPr>
      </w:pPr>
      <w:r>
        <w:rPr>
          <w:rFonts w:hint="eastAsia" w:ascii="黑体" w:eastAsia="黑体"/>
          <w:sz w:val="28"/>
          <w:szCs w:val="28"/>
        </w:rPr>
        <w:t>（项目编号）</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spacing w:line="360" w:lineRule="auto"/>
        <w:jc w:val="center"/>
        <w:rPr>
          <w:rFonts w:ascii="黑体" w:eastAsia="黑体"/>
          <w:sz w:val="28"/>
          <w:szCs w:val="28"/>
        </w:rPr>
      </w:pPr>
      <w:r>
        <w:rPr>
          <w:rFonts w:hint="eastAsia" w:ascii="黑体" w:eastAsia="黑体"/>
          <w:sz w:val="28"/>
          <w:szCs w:val="28"/>
        </w:rPr>
        <w:t>供应商：</w:t>
      </w:r>
      <w:r>
        <w:rPr>
          <w:rFonts w:hint="eastAsia" w:ascii="黑体" w:eastAsia="黑体"/>
          <w:sz w:val="28"/>
          <w:szCs w:val="28"/>
          <w:u w:val="single"/>
        </w:rPr>
        <w:t xml:space="preserve">                               </w:t>
      </w:r>
      <w:r>
        <w:rPr>
          <w:rFonts w:hint="eastAsia" w:ascii="黑体" w:eastAsia="黑体"/>
          <w:sz w:val="28"/>
          <w:szCs w:val="28"/>
        </w:rPr>
        <w:t>（单位公章）</w:t>
      </w:r>
    </w:p>
    <w:p>
      <w:pPr>
        <w:spacing w:line="360" w:lineRule="auto"/>
        <w:jc w:val="center"/>
        <w:rPr>
          <w:rFonts w:ascii="黑体" w:eastAsia="黑体"/>
          <w:sz w:val="28"/>
          <w:szCs w:val="28"/>
        </w:rPr>
      </w:pPr>
      <w:r>
        <w:rPr>
          <w:rFonts w:hint="eastAsia" w:ascii="黑体" w:eastAsia="黑体"/>
          <w:sz w:val="28"/>
          <w:szCs w:val="28"/>
        </w:rPr>
        <w:t xml:space="preserve">  法定代表人或其授权委托人：</w:t>
      </w:r>
      <w:r>
        <w:rPr>
          <w:rFonts w:hint="eastAsia" w:ascii="黑体" w:eastAsia="黑体"/>
          <w:sz w:val="28"/>
          <w:szCs w:val="28"/>
          <w:u w:val="single"/>
        </w:rPr>
        <w:t xml:space="preserve">             </w:t>
      </w:r>
      <w:r>
        <w:rPr>
          <w:rFonts w:hint="eastAsia" w:ascii="黑体" w:eastAsia="黑体"/>
          <w:sz w:val="28"/>
          <w:szCs w:val="28"/>
        </w:rPr>
        <w:t>（签字或盖章）</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p>
    <w:p>
      <w:pPr>
        <w:jc w:val="center"/>
        <w:rPr>
          <w:rFonts w:ascii="黑体" w:eastAsia="黑体"/>
          <w:sz w:val="10"/>
          <w:szCs w:val="10"/>
        </w:rPr>
      </w:pPr>
      <w:r>
        <w:rPr>
          <w:rFonts w:ascii="黑体" w:eastAsia="黑体"/>
          <w:sz w:val="28"/>
          <w:szCs w:val="28"/>
        </w:rPr>
        <w:br w:type="page"/>
      </w:r>
    </w:p>
    <w:p>
      <w:pPr>
        <w:spacing w:beforeLines="100" w:afterLines="100"/>
        <w:jc w:val="center"/>
        <w:rPr>
          <w:rFonts w:ascii="黑体" w:eastAsia="黑体"/>
          <w:sz w:val="28"/>
          <w:szCs w:val="28"/>
        </w:rPr>
      </w:pPr>
      <w:r>
        <w:rPr>
          <w:rFonts w:hint="eastAsia" w:ascii="黑体" w:eastAsia="黑体"/>
          <w:sz w:val="28"/>
          <w:szCs w:val="28"/>
        </w:rPr>
        <w:t>目    录</w:t>
      </w:r>
    </w:p>
    <w:p>
      <w:pPr>
        <w:spacing w:line="600" w:lineRule="exact"/>
        <w:rPr>
          <w:rFonts w:ascii="宋体" w:hAnsi="宋体"/>
          <w:szCs w:val="21"/>
        </w:rPr>
      </w:pPr>
      <w:r>
        <w:rPr>
          <w:rFonts w:hint="eastAsia" w:ascii="宋体" w:hAnsi="宋体"/>
          <w:szCs w:val="21"/>
        </w:rPr>
        <w:t>一、</w:t>
      </w:r>
      <w:r>
        <w:rPr>
          <w:rFonts w:hint="eastAsia"/>
        </w:rPr>
        <w:t>投标函</w:t>
      </w:r>
      <w:r>
        <w:rPr>
          <w:rFonts w:hint="eastAsia"/>
          <w:lang w:eastAsia="zh-CN"/>
        </w:rPr>
        <w:t>、</w:t>
      </w:r>
      <w:r>
        <w:rPr>
          <w:rFonts w:hint="eastAsia"/>
        </w:rPr>
        <w:t>投标函附录</w:t>
      </w:r>
      <w:r>
        <w:rPr>
          <w:rFonts w:hint="eastAsia"/>
          <w:lang w:val="en-US" w:eastAsia="zh-CN"/>
        </w:rPr>
        <w:t>及联合体协议书</w:t>
      </w:r>
    </w:p>
    <w:p>
      <w:pPr>
        <w:spacing w:line="600" w:lineRule="exact"/>
        <w:rPr>
          <w:rFonts w:ascii="宋体" w:hAnsi="宋体"/>
          <w:szCs w:val="21"/>
        </w:rPr>
      </w:pPr>
      <w:r>
        <w:rPr>
          <w:rFonts w:hint="eastAsia" w:ascii="宋体" w:hAnsi="宋体"/>
          <w:szCs w:val="21"/>
        </w:rPr>
        <w:t>二、法定代表人身份证明及附有法定代表授权委托人身份证明的委托书</w:t>
      </w:r>
    </w:p>
    <w:p>
      <w:pPr>
        <w:spacing w:line="600" w:lineRule="exact"/>
        <w:rPr>
          <w:rFonts w:ascii="宋体" w:hAnsi="宋体"/>
          <w:szCs w:val="21"/>
        </w:rPr>
      </w:pPr>
      <w:r>
        <w:rPr>
          <w:rFonts w:hint="eastAsia" w:ascii="宋体" w:hAnsi="宋体"/>
          <w:szCs w:val="21"/>
        </w:rPr>
        <w:t>三、磋商保证金（</w:t>
      </w:r>
      <w:r>
        <w:rPr>
          <w:rFonts w:hint="eastAsia"/>
        </w:rPr>
        <w:t>本次项目不适用</w:t>
      </w:r>
      <w:r>
        <w:rPr>
          <w:rFonts w:hint="eastAsia" w:ascii="宋体" w:hAnsi="宋体"/>
          <w:szCs w:val="21"/>
        </w:rPr>
        <w:t>）</w:t>
      </w:r>
    </w:p>
    <w:p>
      <w:pPr>
        <w:spacing w:line="600" w:lineRule="exact"/>
        <w:rPr>
          <w:rFonts w:ascii="宋体" w:hAnsi="宋体"/>
          <w:szCs w:val="21"/>
        </w:rPr>
      </w:pPr>
      <w:r>
        <w:rPr>
          <w:rFonts w:hint="eastAsia" w:ascii="宋体" w:hAnsi="宋体"/>
          <w:szCs w:val="21"/>
        </w:rPr>
        <w:t>四、已标价工程量清单</w:t>
      </w:r>
    </w:p>
    <w:p>
      <w:pPr>
        <w:spacing w:line="600" w:lineRule="exact"/>
        <w:rPr>
          <w:rFonts w:ascii="宋体" w:hAnsi="宋体"/>
          <w:szCs w:val="21"/>
        </w:rPr>
      </w:pPr>
      <w:r>
        <w:rPr>
          <w:rFonts w:hint="eastAsia" w:ascii="宋体" w:hAnsi="宋体"/>
          <w:szCs w:val="21"/>
        </w:rPr>
        <w:t>五、施工组织设计</w:t>
      </w:r>
    </w:p>
    <w:p>
      <w:pPr>
        <w:spacing w:line="600" w:lineRule="exact"/>
        <w:rPr>
          <w:rFonts w:ascii="宋体" w:hAnsi="宋体"/>
          <w:szCs w:val="21"/>
        </w:rPr>
      </w:pPr>
      <w:r>
        <w:rPr>
          <w:rFonts w:hint="eastAsia" w:ascii="宋体" w:hAnsi="宋体"/>
          <w:szCs w:val="21"/>
        </w:rPr>
        <w:t>六、项目管理机构人员情况表</w:t>
      </w:r>
    </w:p>
    <w:p>
      <w:pPr>
        <w:spacing w:line="600" w:lineRule="exact"/>
        <w:rPr>
          <w:rFonts w:ascii="宋体" w:hAnsi="宋体"/>
          <w:szCs w:val="21"/>
        </w:rPr>
      </w:pPr>
      <w:r>
        <w:rPr>
          <w:rFonts w:hint="eastAsia" w:ascii="宋体" w:hAnsi="宋体"/>
          <w:szCs w:val="21"/>
        </w:rPr>
        <w:t>七、拟分包项目情况表</w:t>
      </w:r>
    </w:p>
    <w:p>
      <w:pPr>
        <w:spacing w:line="600" w:lineRule="exact"/>
        <w:rPr>
          <w:rFonts w:ascii="宋体" w:hAnsi="宋体"/>
          <w:szCs w:val="21"/>
        </w:rPr>
      </w:pPr>
      <w:r>
        <w:rPr>
          <w:rFonts w:hint="eastAsia" w:ascii="宋体" w:hAnsi="宋体"/>
          <w:szCs w:val="21"/>
        </w:rPr>
        <w:t>八、资格审查资料</w:t>
      </w:r>
    </w:p>
    <w:p>
      <w:pPr>
        <w:spacing w:line="600" w:lineRule="exact"/>
        <w:rPr>
          <w:rFonts w:ascii="宋体" w:hAnsi="宋体"/>
          <w:szCs w:val="21"/>
        </w:rPr>
      </w:pPr>
      <w:r>
        <w:rPr>
          <w:rFonts w:hint="eastAsia" w:ascii="宋体" w:hAnsi="宋体"/>
          <w:szCs w:val="21"/>
        </w:rPr>
        <w:t>九、其他材料</w:t>
      </w:r>
    </w:p>
    <w:p>
      <w:pPr>
        <w:spacing w:line="240" w:lineRule="exact"/>
        <w:jc w:val="center"/>
        <w:rPr>
          <w:rFonts w:ascii="黑体" w:hAnsi="宋体" w:eastAsia="黑体"/>
          <w:sz w:val="28"/>
          <w:szCs w:val="28"/>
        </w:rPr>
      </w:pPr>
      <w:r>
        <w:rPr>
          <w:rFonts w:ascii="黑体" w:hAnsi="宋体" w:eastAsia="黑体"/>
          <w:sz w:val="28"/>
          <w:szCs w:val="28"/>
        </w:rPr>
        <w:br w:type="page"/>
      </w:r>
    </w:p>
    <w:p>
      <w:pPr>
        <w:pStyle w:val="16"/>
        <w:outlineLvl w:val="9"/>
        <w:rPr>
          <w:rFonts w:hint="default" w:eastAsia="黑体"/>
          <w:lang w:val="en-US" w:eastAsia="zh-CN"/>
        </w:rPr>
      </w:pPr>
      <w:r>
        <w:rPr>
          <w:rFonts w:hint="eastAsia"/>
        </w:rPr>
        <w:t>一、投标函</w:t>
      </w:r>
      <w:r>
        <w:rPr>
          <w:rFonts w:hint="eastAsia"/>
          <w:lang w:eastAsia="zh-CN"/>
        </w:rPr>
        <w:t>、</w:t>
      </w:r>
      <w:r>
        <w:rPr>
          <w:rFonts w:hint="eastAsia"/>
        </w:rPr>
        <w:t>投标函附录</w:t>
      </w:r>
      <w:r>
        <w:rPr>
          <w:rFonts w:hint="eastAsia"/>
          <w:lang w:val="en-US" w:eastAsia="zh-CN"/>
        </w:rPr>
        <w:t>及联合体协议书</w:t>
      </w:r>
    </w:p>
    <w:p>
      <w:pPr>
        <w:spacing w:beforeLines="100" w:line="480" w:lineRule="exact"/>
        <w:jc w:val="center"/>
        <w:rPr>
          <w:rFonts w:ascii="黑体" w:hAnsi="宋体" w:eastAsia="黑体"/>
          <w:sz w:val="24"/>
        </w:rPr>
      </w:pPr>
      <w:r>
        <w:rPr>
          <w:rFonts w:hint="eastAsia" w:ascii="黑体" w:hAnsi="宋体" w:eastAsia="黑体"/>
          <w:sz w:val="24"/>
        </w:rPr>
        <w:t>（一）投标函</w:t>
      </w:r>
    </w:p>
    <w:p>
      <w:pPr>
        <w:spacing w:line="480" w:lineRule="exact"/>
        <w:rPr>
          <w:rFonts w:ascii="宋体" w:hAnsi="宋体"/>
          <w:szCs w:val="21"/>
        </w:rPr>
      </w:pPr>
    </w:p>
    <w:p>
      <w:pPr>
        <w:spacing w:line="48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（招标人名称）</w:t>
      </w:r>
    </w:p>
    <w:p>
      <w:pPr>
        <w:spacing w:line="480" w:lineRule="exact"/>
        <w:ind w:firstLine="420" w:firstLineChars="200"/>
        <w:rPr>
          <w:rFonts w:ascii="宋体" w:hAnsi="宋体"/>
          <w:szCs w:val="21"/>
        </w:rPr>
      </w:pPr>
      <w:r>
        <w:rPr>
          <w:rFonts w:hint="eastAsia" w:ascii="宋体" w:hAnsi="宋体"/>
          <w:szCs w:val="21"/>
        </w:rPr>
        <w:t>在考察现场并充分研究</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（项目编号）（以下简称“本工程”）施工响应文件的全部内容后，我方兹以：</w:t>
      </w:r>
    </w:p>
    <w:p>
      <w:pPr>
        <w:spacing w:line="480" w:lineRule="exact"/>
        <w:ind w:firstLine="420" w:firstLineChars="200"/>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元</w:t>
      </w:r>
    </w:p>
    <w:p>
      <w:pPr>
        <w:spacing w:line="480" w:lineRule="exact"/>
        <w:ind w:firstLine="420" w:firstLineChars="200"/>
        <w:rPr>
          <w:rFonts w:ascii="宋体" w:hAnsi="宋体"/>
          <w:szCs w:val="21"/>
        </w:rPr>
      </w:pPr>
      <w:r>
        <w:rPr>
          <w:rFonts w:hint="eastAsia" w:ascii="宋体" w:hAnsi="宋体"/>
          <w:szCs w:val="21"/>
        </w:rPr>
        <w:t>RMB￥：</w:t>
      </w:r>
      <w:r>
        <w:rPr>
          <w:rFonts w:hint="eastAsia" w:ascii="宋体" w:hAnsi="宋体"/>
          <w:szCs w:val="21"/>
          <w:u w:val="single"/>
        </w:rPr>
        <w:t xml:space="preserve">                                                 </w:t>
      </w:r>
      <w:r>
        <w:rPr>
          <w:rFonts w:hint="eastAsia" w:ascii="宋体" w:hAnsi="宋体"/>
          <w:szCs w:val="21"/>
        </w:rPr>
        <w:t>元</w:t>
      </w:r>
    </w:p>
    <w:p>
      <w:pPr>
        <w:spacing w:line="480" w:lineRule="exact"/>
        <w:rPr>
          <w:rFonts w:ascii="宋体" w:hAnsi="宋体"/>
          <w:szCs w:val="21"/>
        </w:rPr>
      </w:pPr>
      <w:r>
        <w:rPr>
          <w:rFonts w:hint="eastAsia" w:ascii="宋体" w:hAnsi="宋体"/>
          <w:szCs w:val="21"/>
        </w:rPr>
        <w:t>的磋商价格和按合同约定有权得到的其它金额，并严格按照合同约定，施工、竣工和交付本</w:t>
      </w:r>
    </w:p>
    <w:p>
      <w:pPr>
        <w:spacing w:line="480" w:lineRule="exact"/>
        <w:rPr>
          <w:rFonts w:ascii="宋体" w:hAnsi="宋体"/>
          <w:szCs w:val="21"/>
        </w:rPr>
      </w:pPr>
      <w:r>
        <w:rPr>
          <w:rFonts w:hint="eastAsia" w:ascii="宋体" w:hAnsi="宋体"/>
          <w:szCs w:val="21"/>
        </w:rPr>
        <w:t>工程并维修其中的任何缺陷。</w:t>
      </w:r>
    </w:p>
    <w:p>
      <w:pPr>
        <w:spacing w:line="480" w:lineRule="exact"/>
        <w:ind w:firstLine="420" w:firstLineChars="200"/>
        <w:rPr>
          <w:rFonts w:ascii="宋体" w:hAnsi="宋体"/>
          <w:szCs w:val="21"/>
        </w:rPr>
      </w:pPr>
      <w:r>
        <w:rPr>
          <w:rFonts w:hint="eastAsia" w:ascii="宋体" w:hAnsi="宋体"/>
          <w:szCs w:val="21"/>
        </w:rPr>
        <w:t>在我方的上述磋商报价中，包括：</w:t>
      </w:r>
    </w:p>
    <w:p>
      <w:pPr>
        <w:spacing w:line="480" w:lineRule="exact"/>
        <w:ind w:firstLine="420" w:firstLineChars="200"/>
        <w:rPr>
          <w:rFonts w:ascii="宋体" w:hAnsi="宋体"/>
          <w:szCs w:val="21"/>
        </w:rPr>
      </w:pPr>
      <w:r>
        <w:rPr>
          <w:rFonts w:hint="eastAsia" w:ascii="宋体" w:hAnsi="宋体"/>
          <w:szCs w:val="21"/>
        </w:rPr>
        <w:t>暂列金额（不包括计日工部分）RMB￥：</w:t>
      </w:r>
      <w:r>
        <w:rPr>
          <w:rFonts w:hint="eastAsia" w:ascii="宋体" w:hAnsi="宋体"/>
          <w:szCs w:val="21"/>
          <w:u w:val="single"/>
        </w:rPr>
        <w:t xml:space="preserve">                    </w:t>
      </w:r>
      <w:r>
        <w:rPr>
          <w:rFonts w:hint="eastAsia" w:ascii="宋体" w:hAnsi="宋体"/>
          <w:szCs w:val="21"/>
        </w:rPr>
        <w:t>元</w:t>
      </w:r>
    </w:p>
    <w:p>
      <w:pPr>
        <w:spacing w:line="480" w:lineRule="exact"/>
        <w:ind w:firstLine="420" w:firstLineChars="200"/>
        <w:rPr>
          <w:rFonts w:ascii="宋体" w:hAnsi="宋体"/>
          <w:szCs w:val="21"/>
        </w:rPr>
      </w:pPr>
      <w:r>
        <w:rPr>
          <w:rFonts w:hint="eastAsia" w:ascii="宋体" w:hAnsi="宋体"/>
          <w:szCs w:val="21"/>
        </w:rPr>
        <w:t>专业工程暂估价RMB￥：</w:t>
      </w:r>
      <w:r>
        <w:rPr>
          <w:rFonts w:hint="eastAsia" w:ascii="宋体" w:hAnsi="宋体"/>
          <w:szCs w:val="21"/>
          <w:u w:val="single"/>
        </w:rPr>
        <w:t xml:space="preserve">                                  </w:t>
      </w:r>
      <w:r>
        <w:rPr>
          <w:rFonts w:hint="eastAsia" w:ascii="宋体" w:hAnsi="宋体"/>
          <w:szCs w:val="21"/>
        </w:rPr>
        <w:t>元</w:t>
      </w:r>
    </w:p>
    <w:p>
      <w:pPr>
        <w:spacing w:line="480" w:lineRule="exact"/>
        <w:ind w:firstLine="420" w:firstLineChars="200"/>
        <w:rPr>
          <w:rFonts w:ascii="宋体" w:hAnsi="宋体"/>
          <w:szCs w:val="21"/>
        </w:rPr>
      </w:pPr>
      <w:r>
        <w:rPr>
          <w:rFonts w:hint="eastAsia" w:ascii="宋体" w:hAnsi="宋体"/>
          <w:szCs w:val="21"/>
        </w:rPr>
        <w:t>如果我方成交，我方保证在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日或按照合同约定的开工日期开始本工程的施工，</w:t>
      </w:r>
      <w:r>
        <w:rPr>
          <w:rFonts w:hint="eastAsia" w:ascii="宋体" w:hAnsi="宋体"/>
          <w:szCs w:val="21"/>
          <w:u w:val="single"/>
        </w:rPr>
        <w:t xml:space="preserve">      </w:t>
      </w:r>
      <w:r>
        <w:rPr>
          <w:rFonts w:hint="eastAsia" w:ascii="宋体" w:hAnsi="宋体"/>
          <w:szCs w:val="21"/>
        </w:rPr>
        <w:t>天（日历日）内竣工，并确保工程质量达到</w:t>
      </w:r>
      <w:r>
        <w:rPr>
          <w:rFonts w:hint="eastAsia" w:ascii="宋体" w:hAnsi="宋体"/>
          <w:szCs w:val="21"/>
          <w:u w:val="single"/>
        </w:rPr>
        <w:t xml:space="preserve">      </w:t>
      </w:r>
      <w:r>
        <w:rPr>
          <w:rFonts w:hint="eastAsia" w:ascii="宋体" w:hAnsi="宋体"/>
          <w:szCs w:val="21"/>
        </w:rPr>
        <w:t>标准。我方同意本投标函在磋商文件规定的提交响应文件截止时间后，在磋商文件规定的磋商有效期期满前对我方具有约束力，且随时准备接受你方发出的成交通知书。</w:t>
      </w:r>
    </w:p>
    <w:p>
      <w:pPr>
        <w:spacing w:line="480" w:lineRule="exact"/>
        <w:ind w:firstLine="420" w:firstLineChars="200"/>
        <w:rPr>
          <w:rFonts w:ascii="宋体" w:hAnsi="宋体"/>
          <w:szCs w:val="21"/>
        </w:rPr>
      </w:pPr>
      <w:r>
        <w:rPr>
          <w:rFonts w:hint="eastAsia" w:ascii="宋体" w:hAnsi="宋体"/>
          <w:szCs w:val="21"/>
        </w:rPr>
        <w:t>随本投标函递交的投标函附录是本投标函的组成部分，对我方构成约束力。</w:t>
      </w:r>
    </w:p>
    <w:p>
      <w:pPr>
        <w:spacing w:line="480" w:lineRule="exact"/>
        <w:ind w:firstLine="420" w:firstLineChars="200"/>
        <w:rPr>
          <w:rFonts w:ascii="宋体" w:hAnsi="宋体"/>
          <w:szCs w:val="21"/>
        </w:rPr>
      </w:pPr>
      <w:r>
        <w:rPr>
          <w:rFonts w:hint="eastAsia" w:ascii="宋体" w:hAnsi="宋体"/>
          <w:szCs w:val="21"/>
        </w:rPr>
        <w:t>随同本投标函递交磋商保证金一份，金额为人民币（大写）：</w:t>
      </w:r>
      <w:r>
        <w:rPr>
          <w:rFonts w:hint="eastAsia" w:ascii="宋体" w:hAnsi="宋体"/>
          <w:szCs w:val="21"/>
          <w:u w:val="single"/>
        </w:rPr>
        <w:t xml:space="preserve">              </w:t>
      </w:r>
      <w:r>
        <w:rPr>
          <w:rFonts w:hint="eastAsia" w:ascii="宋体" w:hAnsi="宋体"/>
          <w:szCs w:val="21"/>
        </w:rPr>
        <w:t>元（￥：元）。</w:t>
      </w:r>
    </w:p>
    <w:p>
      <w:pPr>
        <w:spacing w:line="480" w:lineRule="exact"/>
        <w:ind w:firstLine="420" w:firstLineChars="200"/>
        <w:rPr>
          <w:rFonts w:ascii="宋体" w:hAnsi="宋体"/>
          <w:szCs w:val="21"/>
        </w:rPr>
      </w:pPr>
      <w:r>
        <w:rPr>
          <w:rFonts w:hint="eastAsia" w:ascii="宋体" w:hAnsi="宋体"/>
          <w:szCs w:val="21"/>
        </w:rPr>
        <w:t>在签署协议书之前，你方的成交通知书连同本投标函，包括投标函附录，对双方具有约束力。</w:t>
      </w:r>
    </w:p>
    <w:p>
      <w:pPr>
        <w:spacing w:line="480" w:lineRule="exact"/>
        <w:ind w:firstLine="420" w:firstLineChars="200"/>
        <w:rPr>
          <w:rFonts w:ascii="宋体" w:hAnsi="宋体"/>
          <w:szCs w:val="21"/>
        </w:rPr>
      </w:pPr>
      <w:r>
        <w:rPr>
          <w:rFonts w:hint="eastAsia" w:ascii="宋体" w:hAnsi="宋体"/>
          <w:szCs w:val="21"/>
        </w:rPr>
        <w:t>供应商（盖公章）：</w:t>
      </w:r>
    </w:p>
    <w:p>
      <w:pPr>
        <w:spacing w:line="480" w:lineRule="exact"/>
        <w:ind w:firstLine="420" w:firstLineChars="200"/>
        <w:rPr>
          <w:rFonts w:ascii="宋体" w:hAnsi="宋体"/>
          <w:szCs w:val="21"/>
        </w:rPr>
      </w:pPr>
      <w:r>
        <w:rPr>
          <w:rFonts w:hint="eastAsia" w:ascii="宋体" w:hAnsi="宋体"/>
          <w:szCs w:val="21"/>
        </w:rPr>
        <w:t>法人代表或其授权委托人（签字或盖章）：</w:t>
      </w:r>
    </w:p>
    <w:p>
      <w:pPr>
        <w:spacing w:line="480" w:lineRule="exact"/>
        <w:ind w:firstLine="420" w:firstLineChars="200"/>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80" w:lineRule="exact"/>
        <w:rPr>
          <w:rFonts w:ascii="宋体" w:hAnsi="宋体"/>
          <w:szCs w:val="21"/>
        </w:rPr>
      </w:pPr>
      <w:r>
        <w:rPr>
          <w:rFonts w:hint="eastAsia" w:ascii="黑体" w:hAnsi="宋体" w:eastAsia="黑体"/>
          <w:szCs w:val="21"/>
        </w:rPr>
        <w:t>（备注：</w:t>
      </w:r>
      <w:r>
        <w:rPr>
          <w:rFonts w:hint="eastAsia" w:ascii="宋体" w:hAnsi="宋体"/>
          <w:szCs w:val="21"/>
        </w:rPr>
        <w:t>采用综合评分法评审，且采用分项报价方法对磋商报价进行评分的，应当在投标函中增加分项报价的填报。）</w:t>
      </w:r>
    </w:p>
    <w:p>
      <w:pPr>
        <w:spacing w:line="360" w:lineRule="auto"/>
        <w:jc w:val="center"/>
        <w:rPr>
          <w:b/>
          <w:sz w:val="24"/>
          <w:u w:val="single"/>
        </w:rPr>
        <w:sectPr>
          <w:footerReference r:id="rId9" w:type="first"/>
          <w:headerReference r:id="rId7" w:type="default"/>
          <w:footerReference r:id="rId8" w:type="default"/>
          <w:pgSz w:w="11906" w:h="16838"/>
          <w:pgMar w:top="1134" w:right="1021" w:bottom="1134" w:left="1134" w:header="567" w:footer="1134" w:gutter="284"/>
          <w:cols w:space="720" w:num="1"/>
          <w:titlePg/>
          <w:docGrid w:linePitch="312" w:charSpace="0"/>
        </w:sectPr>
      </w:pPr>
    </w:p>
    <w:p>
      <w:pPr>
        <w:spacing w:line="360" w:lineRule="auto"/>
        <w:jc w:val="center"/>
        <w:rPr>
          <w:b/>
          <w:sz w:val="24"/>
          <w:u w:val="single"/>
        </w:rPr>
      </w:pPr>
      <w:r>
        <w:rPr>
          <w:rFonts w:hint="eastAsia"/>
          <w:b/>
          <w:sz w:val="24"/>
          <w:u w:val="single"/>
        </w:rPr>
        <w:t>（二）投标书情况汇总表</w:t>
      </w:r>
    </w:p>
    <w:p>
      <w:pPr>
        <w:spacing w:line="360" w:lineRule="auto"/>
        <w:jc w:val="center"/>
        <w:rPr>
          <w:b/>
          <w:sz w:val="24"/>
          <w:u w:val="single"/>
        </w:rPr>
      </w:pPr>
    </w:p>
    <w:p>
      <w:pPr>
        <w:spacing w:line="360" w:lineRule="auto"/>
        <w:rPr>
          <w:rFonts w:ascii="宋体" w:hAnsi="宋体"/>
          <w:szCs w:val="21"/>
        </w:rPr>
      </w:pPr>
      <w:r>
        <w:rPr>
          <w:rFonts w:hint="eastAsia" w:ascii="宋体" w:hAnsi="宋体"/>
          <w:szCs w:val="21"/>
        </w:rPr>
        <w:t xml:space="preserve">建设工程名称：                         </w:t>
      </w:r>
      <w:r>
        <w:rPr>
          <w:rFonts w:ascii="宋体" w:hAnsi="宋体"/>
          <w:szCs w:val="21"/>
        </w:rPr>
        <w:t xml:space="preserve">                                                          </w:t>
      </w:r>
      <w:r>
        <w:rPr>
          <w:rFonts w:hint="eastAsia" w:ascii="宋体" w:hAnsi="宋体"/>
          <w:szCs w:val="21"/>
        </w:rPr>
        <w:t xml:space="preserve">  建筑面积：        平方米</w:t>
      </w:r>
    </w:p>
    <w:tbl>
      <w:tblPr>
        <w:tblStyle w:val="20"/>
        <w:tblW w:w="14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390"/>
        <w:gridCol w:w="1390"/>
        <w:gridCol w:w="1216"/>
        <w:gridCol w:w="868"/>
        <w:gridCol w:w="1042"/>
        <w:gridCol w:w="1013"/>
        <w:gridCol w:w="1420"/>
        <w:gridCol w:w="1419"/>
        <w:gridCol w:w="120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2189" w:type="dxa"/>
            <w:vMerge w:val="restart"/>
            <w:vAlign w:val="center"/>
          </w:tcPr>
          <w:p>
            <w:pPr>
              <w:jc w:val="center"/>
              <w:rPr>
                <w:rFonts w:ascii="宋体" w:hAnsi="宋体"/>
                <w:szCs w:val="21"/>
              </w:rPr>
            </w:pPr>
            <w:r>
              <w:rPr>
                <w:rFonts w:hint="eastAsia" w:ascii="宋体" w:hAnsi="宋体"/>
                <w:szCs w:val="21"/>
              </w:rPr>
              <w:t>单位工程名称</w:t>
            </w:r>
          </w:p>
        </w:tc>
        <w:tc>
          <w:tcPr>
            <w:tcW w:w="6919" w:type="dxa"/>
            <w:gridSpan w:val="6"/>
            <w:vAlign w:val="center"/>
          </w:tcPr>
          <w:p>
            <w:pPr>
              <w:jc w:val="center"/>
              <w:rPr>
                <w:rFonts w:ascii="宋体" w:hAnsi="宋体"/>
                <w:szCs w:val="21"/>
              </w:rPr>
            </w:pPr>
            <w:r>
              <w:rPr>
                <w:rFonts w:hint="eastAsia" w:ascii="宋体" w:hAnsi="宋体"/>
                <w:szCs w:val="21"/>
              </w:rPr>
              <w:t>报   价（万元）</w:t>
            </w:r>
          </w:p>
        </w:tc>
        <w:tc>
          <w:tcPr>
            <w:tcW w:w="1420" w:type="dxa"/>
            <w:vMerge w:val="restart"/>
            <w:vAlign w:val="center"/>
          </w:tcPr>
          <w:p>
            <w:pPr>
              <w:jc w:val="center"/>
              <w:rPr>
                <w:rFonts w:ascii="宋体" w:hAnsi="宋体"/>
                <w:szCs w:val="21"/>
              </w:rPr>
            </w:pPr>
            <w:r>
              <w:rPr>
                <w:rFonts w:hint="eastAsia" w:ascii="宋体" w:hAnsi="宋体"/>
                <w:szCs w:val="21"/>
              </w:rPr>
              <w:t>施工</w:t>
            </w:r>
          </w:p>
          <w:p>
            <w:pPr>
              <w:jc w:val="center"/>
              <w:rPr>
                <w:rFonts w:ascii="宋体" w:hAnsi="宋体"/>
                <w:szCs w:val="21"/>
              </w:rPr>
            </w:pPr>
            <w:r>
              <w:rPr>
                <w:rFonts w:hint="eastAsia" w:ascii="宋体" w:hAnsi="宋体"/>
                <w:szCs w:val="21"/>
              </w:rPr>
              <w:t>工期</w:t>
            </w:r>
          </w:p>
          <w:p>
            <w:pPr>
              <w:jc w:val="center"/>
              <w:rPr>
                <w:rFonts w:ascii="宋体" w:hAnsi="宋体"/>
                <w:szCs w:val="21"/>
              </w:rPr>
            </w:pPr>
            <w:r>
              <w:rPr>
                <w:rFonts w:hint="eastAsia" w:ascii="宋体" w:hAnsi="宋体"/>
                <w:szCs w:val="21"/>
              </w:rPr>
              <w:t>（日历日）</w:t>
            </w:r>
          </w:p>
        </w:tc>
        <w:tc>
          <w:tcPr>
            <w:tcW w:w="1419" w:type="dxa"/>
            <w:vMerge w:val="restart"/>
            <w:vAlign w:val="center"/>
          </w:tcPr>
          <w:p>
            <w:pPr>
              <w:jc w:val="center"/>
              <w:rPr>
                <w:rFonts w:ascii="宋体" w:hAnsi="宋体"/>
                <w:szCs w:val="21"/>
              </w:rPr>
            </w:pPr>
            <w:r>
              <w:rPr>
                <w:rFonts w:hint="eastAsia" w:ascii="宋体" w:hAnsi="宋体"/>
                <w:szCs w:val="21"/>
              </w:rPr>
              <w:t>人工费（万元）</w:t>
            </w:r>
          </w:p>
        </w:tc>
        <w:tc>
          <w:tcPr>
            <w:tcW w:w="1200" w:type="dxa"/>
            <w:vMerge w:val="restart"/>
            <w:vAlign w:val="center"/>
          </w:tcPr>
          <w:p>
            <w:pPr>
              <w:jc w:val="center"/>
              <w:rPr>
                <w:rFonts w:ascii="宋体" w:hAnsi="宋体"/>
                <w:szCs w:val="21"/>
              </w:rPr>
            </w:pPr>
            <w:r>
              <w:rPr>
                <w:rFonts w:hint="eastAsia" w:ascii="宋体" w:hAnsi="宋体"/>
                <w:szCs w:val="21"/>
              </w:rPr>
              <w:t>自报</w:t>
            </w:r>
          </w:p>
          <w:p>
            <w:pPr>
              <w:jc w:val="center"/>
              <w:rPr>
                <w:rFonts w:ascii="宋体" w:hAnsi="宋体"/>
                <w:szCs w:val="21"/>
              </w:rPr>
            </w:pPr>
            <w:r>
              <w:rPr>
                <w:rFonts w:hint="eastAsia" w:ascii="宋体" w:hAnsi="宋体"/>
                <w:szCs w:val="21"/>
              </w:rPr>
              <w:t>质量</w:t>
            </w:r>
          </w:p>
        </w:tc>
        <w:tc>
          <w:tcPr>
            <w:tcW w:w="1500" w:type="dxa"/>
            <w:vMerge w:val="restart"/>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2189" w:type="dxa"/>
            <w:vMerge w:val="continue"/>
            <w:vAlign w:val="center"/>
          </w:tcPr>
          <w:p>
            <w:pPr>
              <w:spacing w:line="360" w:lineRule="auto"/>
              <w:rPr>
                <w:rFonts w:ascii="宋体" w:hAnsi="宋体"/>
                <w:szCs w:val="21"/>
              </w:rPr>
            </w:pPr>
          </w:p>
        </w:tc>
        <w:tc>
          <w:tcPr>
            <w:tcW w:w="1390" w:type="dxa"/>
            <w:vAlign w:val="center"/>
          </w:tcPr>
          <w:p>
            <w:pPr>
              <w:jc w:val="center"/>
              <w:rPr>
                <w:rFonts w:ascii="宋体" w:hAnsi="宋体"/>
                <w:szCs w:val="21"/>
              </w:rPr>
            </w:pPr>
            <w:r>
              <w:rPr>
                <w:rFonts w:hint="eastAsia" w:ascii="宋体" w:hAnsi="宋体"/>
                <w:szCs w:val="21"/>
              </w:rPr>
              <w:t>总计</w:t>
            </w:r>
          </w:p>
        </w:tc>
        <w:tc>
          <w:tcPr>
            <w:tcW w:w="1390" w:type="dxa"/>
            <w:vAlign w:val="center"/>
          </w:tcPr>
          <w:p>
            <w:pPr>
              <w:jc w:val="center"/>
              <w:rPr>
                <w:rFonts w:ascii="宋体" w:hAnsi="宋体"/>
                <w:szCs w:val="21"/>
              </w:rPr>
            </w:pPr>
            <w:r>
              <w:rPr>
                <w:rFonts w:hint="eastAsia" w:ascii="宋体" w:hAnsi="宋体"/>
                <w:szCs w:val="21"/>
              </w:rPr>
              <w:t>分部分项</w:t>
            </w:r>
          </w:p>
        </w:tc>
        <w:tc>
          <w:tcPr>
            <w:tcW w:w="1216" w:type="dxa"/>
            <w:vAlign w:val="center"/>
          </w:tcPr>
          <w:p>
            <w:pPr>
              <w:jc w:val="center"/>
              <w:rPr>
                <w:rFonts w:ascii="宋体" w:hAnsi="宋体"/>
                <w:szCs w:val="21"/>
              </w:rPr>
            </w:pPr>
            <w:r>
              <w:rPr>
                <w:rFonts w:hint="eastAsia" w:ascii="宋体" w:hAnsi="宋体"/>
                <w:szCs w:val="21"/>
              </w:rPr>
              <w:t>措施费</w:t>
            </w:r>
          </w:p>
        </w:tc>
        <w:tc>
          <w:tcPr>
            <w:tcW w:w="868" w:type="dxa"/>
            <w:vAlign w:val="center"/>
          </w:tcPr>
          <w:p>
            <w:pPr>
              <w:rPr>
                <w:rFonts w:ascii="宋体" w:hAnsi="宋体"/>
                <w:szCs w:val="21"/>
              </w:rPr>
            </w:pPr>
            <w:r>
              <w:rPr>
                <w:rFonts w:hint="eastAsia" w:ascii="宋体" w:hAnsi="宋体"/>
                <w:szCs w:val="21"/>
              </w:rPr>
              <w:t>其他项目</w:t>
            </w:r>
          </w:p>
        </w:tc>
        <w:tc>
          <w:tcPr>
            <w:tcW w:w="1042" w:type="dxa"/>
            <w:vAlign w:val="center"/>
          </w:tcPr>
          <w:p>
            <w:pPr>
              <w:jc w:val="center"/>
              <w:rPr>
                <w:rFonts w:ascii="宋体" w:hAnsi="宋体"/>
                <w:szCs w:val="21"/>
              </w:rPr>
            </w:pPr>
            <w:r>
              <w:rPr>
                <w:rFonts w:hint="eastAsia" w:ascii="宋体" w:hAnsi="宋体"/>
                <w:szCs w:val="21"/>
              </w:rPr>
              <w:t>规费</w:t>
            </w:r>
          </w:p>
        </w:tc>
        <w:tc>
          <w:tcPr>
            <w:tcW w:w="1013" w:type="dxa"/>
            <w:vAlign w:val="center"/>
          </w:tcPr>
          <w:p>
            <w:pPr>
              <w:jc w:val="center"/>
              <w:rPr>
                <w:rFonts w:ascii="宋体" w:hAnsi="宋体"/>
                <w:szCs w:val="21"/>
              </w:rPr>
            </w:pPr>
            <w:r>
              <w:rPr>
                <w:rFonts w:hint="eastAsia" w:ascii="宋体" w:hAnsi="宋体"/>
                <w:szCs w:val="21"/>
              </w:rPr>
              <w:t>增税金</w:t>
            </w:r>
          </w:p>
        </w:tc>
        <w:tc>
          <w:tcPr>
            <w:tcW w:w="1420" w:type="dxa"/>
            <w:vMerge w:val="continue"/>
            <w:vAlign w:val="center"/>
          </w:tcPr>
          <w:p>
            <w:pPr>
              <w:spacing w:line="360" w:lineRule="auto"/>
              <w:jc w:val="center"/>
              <w:rPr>
                <w:rFonts w:ascii="宋体" w:hAnsi="宋体"/>
                <w:szCs w:val="21"/>
              </w:rPr>
            </w:pPr>
          </w:p>
        </w:tc>
        <w:tc>
          <w:tcPr>
            <w:tcW w:w="1419" w:type="dxa"/>
            <w:vMerge w:val="continue"/>
            <w:vAlign w:val="center"/>
          </w:tcPr>
          <w:p>
            <w:pPr>
              <w:jc w:val="center"/>
              <w:rPr>
                <w:rFonts w:ascii="宋体" w:hAnsi="宋体"/>
                <w:szCs w:val="21"/>
              </w:rPr>
            </w:pPr>
          </w:p>
        </w:tc>
        <w:tc>
          <w:tcPr>
            <w:tcW w:w="1200" w:type="dxa"/>
            <w:vMerge w:val="continue"/>
            <w:vAlign w:val="center"/>
          </w:tcPr>
          <w:p>
            <w:pPr>
              <w:spacing w:line="360" w:lineRule="auto"/>
              <w:jc w:val="center"/>
              <w:rPr>
                <w:rFonts w:ascii="宋体" w:hAnsi="宋体"/>
                <w:szCs w:val="21"/>
              </w:rPr>
            </w:pPr>
          </w:p>
        </w:tc>
        <w:tc>
          <w:tcPr>
            <w:tcW w:w="1500"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189" w:type="dxa"/>
            <w:vAlign w:val="center"/>
          </w:tcPr>
          <w:p>
            <w:pPr>
              <w:spacing w:line="360" w:lineRule="auto"/>
              <w:rPr>
                <w:rFonts w:ascii="宋体" w:hAnsi="宋体"/>
                <w:szCs w:val="21"/>
              </w:rPr>
            </w:pPr>
          </w:p>
        </w:tc>
        <w:tc>
          <w:tcPr>
            <w:tcW w:w="1390" w:type="dxa"/>
            <w:vAlign w:val="center"/>
          </w:tcPr>
          <w:p>
            <w:pPr>
              <w:spacing w:line="360" w:lineRule="auto"/>
              <w:rPr>
                <w:rFonts w:ascii="宋体" w:hAnsi="宋体"/>
                <w:szCs w:val="21"/>
              </w:rPr>
            </w:pPr>
          </w:p>
        </w:tc>
        <w:tc>
          <w:tcPr>
            <w:tcW w:w="1390" w:type="dxa"/>
            <w:vAlign w:val="center"/>
          </w:tcPr>
          <w:p>
            <w:pPr>
              <w:spacing w:line="360" w:lineRule="auto"/>
              <w:rPr>
                <w:rFonts w:ascii="宋体" w:hAnsi="宋体"/>
                <w:szCs w:val="21"/>
              </w:rPr>
            </w:pPr>
          </w:p>
        </w:tc>
        <w:tc>
          <w:tcPr>
            <w:tcW w:w="1216" w:type="dxa"/>
            <w:vAlign w:val="center"/>
          </w:tcPr>
          <w:p>
            <w:pPr>
              <w:spacing w:line="360" w:lineRule="auto"/>
              <w:rPr>
                <w:rFonts w:ascii="宋体" w:hAnsi="宋体"/>
                <w:szCs w:val="21"/>
              </w:rPr>
            </w:pPr>
          </w:p>
        </w:tc>
        <w:tc>
          <w:tcPr>
            <w:tcW w:w="868" w:type="dxa"/>
            <w:vAlign w:val="center"/>
          </w:tcPr>
          <w:p>
            <w:pPr>
              <w:spacing w:line="360" w:lineRule="auto"/>
              <w:jc w:val="center"/>
              <w:rPr>
                <w:rFonts w:ascii="宋体" w:hAnsi="宋体"/>
                <w:szCs w:val="21"/>
              </w:rPr>
            </w:pPr>
          </w:p>
        </w:tc>
        <w:tc>
          <w:tcPr>
            <w:tcW w:w="1042" w:type="dxa"/>
            <w:vAlign w:val="center"/>
          </w:tcPr>
          <w:p>
            <w:pPr>
              <w:spacing w:line="360" w:lineRule="auto"/>
              <w:jc w:val="center"/>
              <w:rPr>
                <w:rFonts w:ascii="宋体" w:hAnsi="宋体"/>
                <w:szCs w:val="21"/>
              </w:rPr>
            </w:pPr>
          </w:p>
        </w:tc>
        <w:tc>
          <w:tcPr>
            <w:tcW w:w="1013" w:type="dxa"/>
            <w:vAlign w:val="center"/>
          </w:tcPr>
          <w:p>
            <w:pPr>
              <w:spacing w:line="360" w:lineRule="auto"/>
              <w:jc w:val="center"/>
              <w:rPr>
                <w:rFonts w:ascii="宋体" w:hAnsi="宋体"/>
                <w:szCs w:val="21"/>
              </w:rPr>
            </w:pPr>
          </w:p>
        </w:tc>
        <w:tc>
          <w:tcPr>
            <w:tcW w:w="1420" w:type="dxa"/>
            <w:vMerge w:val="restart"/>
            <w:vAlign w:val="center"/>
          </w:tcPr>
          <w:p>
            <w:pPr>
              <w:jc w:val="center"/>
              <w:rPr>
                <w:rFonts w:ascii="宋体" w:hAnsi="宋体"/>
                <w:szCs w:val="21"/>
              </w:rPr>
            </w:pPr>
          </w:p>
        </w:tc>
        <w:tc>
          <w:tcPr>
            <w:tcW w:w="1419" w:type="dxa"/>
            <w:vMerge w:val="restart"/>
            <w:vAlign w:val="center"/>
          </w:tcPr>
          <w:p>
            <w:pPr>
              <w:jc w:val="center"/>
              <w:rPr>
                <w:rFonts w:ascii="宋体" w:hAnsi="宋体"/>
                <w:szCs w:val="21"/>
              </w:rPr>
            </w:pPr>
          </w:p>
        </w:tc>
        <w:tc>
          <w:tcPr>
            <w:tcW w:w="1200" w:type="dxa"/>
            <w:vMerge w:val="restart"/>
            <w:vAlign w:val="center"/>
          </w:tcPr>
          <w:p>
            <w:pPr>
              <w:jc w:val="center"/>
              <w:rPr>
                <w:rFonts w:ascii="宋体" w:hAnsi="宋体"/>
                <w:szCs w:val="21"/>
              </w:rPr>
            </w:pPr>
          </w:p>
        </w:tc>
        <w:tc>
          <w:tcPr>
            <w:tcW w:w="1500"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189" w:type="dxa"/>
          </w:tcPr>
          <w:p>
            <w:pPr>
              <w:spacing w:line="360" w:lineRule="auto"/>
              <w:rPr>
                <w:rFonts w:ascii="宋体" w:hAnsi="宋体"/>
                <w:szCs w:val="21"/>
              </w:rPr>
            </w:pPr>
          </w:p>
        </w:tc>
        <w:tc>
          <w:tcPr>
            <w:tcW w:w="1390" w:type="dxa"/>
          </w:tcPr>
          <w:p>
            <w:pPr>
              <w:spacing w:line="360" w:lineRule="auto"/>
              <w:rPr>
                <w:rFonts w:ascii="宋体" w:hAnsi="宋体"/>
                <w:szCs w:val="21"/>
              </w:rPr>
            </w:pPr>
          </w:p>
        </w:tc>
        <w:tc>
          <w:tcPr>
            <w:tcW w:w="1390" w:type="dxa"/>
          </w:tcPr>
          <w:p>
            <w:pPr>
              <w:spacing w:line="360" w:lineRule="auto"/>
              <w:rPr>
                <w:rFonts w:ascii="宋体" w:hAnsi="宋体"/>
                <w:szCs w:val="21"/>
              </w:rPr>
            </w:pPr>
          </w:p>
        </w:tc>
        <w:tc>
          <w:tcPr>
            <w:tcW w:w="1216" w:type="dxa"/>
          </w:tcPr>
          <w:p>
            <w:pPr>
              <w:spacing w:line="360" w:lineRule="auto"/>
              <w:rPr>
                <w:rFonts w:ascii="宋体" w:hAnsi="宋体"/>
                <w:szCs w:val="21"/>
              </w:rPr>
            </w:pPr>
          </w:p>
        </w:tc>
        <w:tc>
          <w:tcPr>
            <w:tcW w:w="868" w:type="dxa"/>
          </w:tcPr>
          <w:p>
            <w:pPr>
              <w:spacing w:line="360" w:lineRule="auto"/>
              <w:jc w:val="center"/>
              <w:rPr>
                <w:rFonts w:ascii="宋体" w:hAnsi="宋体"/>
                <w:szCs w:val="21"/>
              </w:rPr>
            </w:pPr>
          </w:p>
        </w:tc>
        <w:tc>
          <w:tcPr>
            <w:tcW w:w="1042" w:type="dxa"/>
          </w:tcPr>
          <w:p>
            <w:pPr>
              <w:spacing w:line="360" w:lineRule="auto"/>
              <w:jc w:val="center"/>
              <w:rPr>
                <w:rFonts w:ascii="宋体" w:hAnsi="宋体"/>
                <w:szCs w:val="21"/>
              </w:rPr>
            </w:pPr>
          </w:p>
        </w:tc>
        <w:tc>
          <w:tcPr>
            <w:tcW w:w="1013" w:type="dxa"/>
          </w:tcPr>
          <w:p>
            <w:pPr>
              <w:spacing w:line="360" w:lineRule="auto"/>
              <w:jc w:val="center"/>
              <w:rPr>
                <w:rFonts w:ascii="宋体" w:hAnsi="宋体"/>
                <w:szCs w:val="21"/>
              </w:rPr>
            </w:pPr>
          </w:p>
        </w:tc>
        <w:tc>
          <w:tcPr>
            <w:tcW w:w="1420" w:type="dxa"/>
            <w:vMerge w:val="continue"/>
          </w:tcPr>
          <w:p>
            <w:pPr>
              <w:jc w:val="center"/>
              <w:rPr>
                <w:rFonts w:ascii="宋体" w:hAnsi="宋体"/>
                <w:szCs w:val="21"/>
              </w:rPr>
            </w:pPr>
          </w:p>
        </w:tc>
        <w:tc>
          <w:tcPr>
            <w:tcW w:w="1419" w:type="dxa"/>
            <w:vMerge w:val="continue"/>
          </w:tcPr>
          <w:p>
            <w:pPr>
              <w:jc w:val="center"/>
              <w:rPr>
                <w:rFonts w:ascii="宋体" w:hAnsi="宋体"/>
                <w:szCs w:val="21"/>
              </w:rPr>
            </w:pPr>
          </w:p>
        </w:tc>
        <w:tc>
          <w:tcPr>
            <w:tcW w:w="1200" w:type="dxa"/>
            <w:vMerge w:val="continue"/>
          </w:tcPr>
          <w:p>
            <w:pPr>
              <w:jc w:val="center"/>
              <w:rPr>
                <w:rFonts w:ascii="宋体" w:hAnsi="宋体"/>
                <w:szCs w:val="21"/>
              </w:rPr>
            </w:pPr>
          </w:p>
        </w:tc>
        <w:tc>
          <w:tcPr>
            <w:tcW w:w="1500" w:type="dxa"/>
            <w:vMerge w:val="continue"/>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89" w:type="dxa"/>
          </w:tcPr>
          <w:p>
            <w:pPr>
              <w:spacing w:line="360" w:lineRule="auto"/>
              <w:rPr>
                <w:rFonts w:ascii="宋体" w:hAnsi="宋体"/>
                <w:szCs w:val="21"/>
              </w:rPr>
            </w:pPr>
          </w:p>
        </w:tc>
        <w:tc>
          <w:tcPr>
            <w:tcW w:w="1390" w:type="dxa"/>
          </w:tcPr>
          <w:p>
            <w:pPr>
              <w:spacing w:line="360" w:lineRule="auto"/>
              <w:rPr>
                <w:rFonts w:ascii="宋体" w:hAnsi="宋体"/>
                <w:szCs w:val="21"/>
              </w:rPr>
            </w:pPr>
          </w:p>
        </w:tc>
        <w:tc>
          <w:tcPr>
            <w:tcW w:w="1390" w:type="dxa"/>
          </w:tcPr>
          <w:p>
            <w:pPr>
              <w:spacing w:line="360" w:lineRule="auto"/>
              <w:rPr>
                <w:rFonts w:ascii="宋体" w:hAnsi="宋体"/>
                <w:szCs w:val="21"/>
              </w:rPr>
            </w:pPr>
          </w:p>
        </w:tc>
        <w:tc>
          <w:tcPr>
            <w:tcW w:w="1216" w:type="dxa"/>
          </w:tcPr>
          <w:p>
            <w:pPr>
              <w:spacing w:line="360" w:lineRule="auto"/>
              <w:rPr>
                <w:rFonts w:ascii="宋体" w:hAnsi="宋体"/>
                <w:szCs w:val="21"/>
              </w:rPr>
            </w:pPr>
          </w:p>
        </w:tc>
        <w:tc>
          <w:tcPr>
            <w:tcW w:w="868" w:type="dxa"/>
          </w:tcPr>
          <w:p>
            <w:pPr>
              <w:spacing w:line="360" w:lineRule="auto"/>
              <w:jc w:val="center"/>
              <w:rPr>
                <w:rFonts w:ascii="宋体" w:hAnsi="宋体"/>
                <w:szCs w:val="21"/>
              </w:rPr>
            </w:pPr>
          </w:p>
        </w:tc>
        <w:tc>
          <w:tcPr>
            <w:tcW w:w="1042" w:type="dxa"/>
          </w:tcPr>
          <w:p>
            <w:pPr>
              <w:spacing w:line="360" w:lineRule="auto"/>
              <w:jc w:val="center"/>
              <w:rPr>
                <w:rFonts w:ascii="宋体" w:hAnsi="宋体"/>
                <w:szCs w:val="21"/>
              </w:rPr>
            </w:pPr>
          </w:p>
        </w:tc>
        <w:tc>
          <w:tcPr>
            <w:tcW w:w="1013" w:type="dxa"/>
          </w:tcPr>
          <w:p>
            <w:pPr>
              <w:spacing w:line="360" w:lineRule="auto"/>
              <w:jc w:val="center"/>
              <w:rPr>
                <w:rFonts w:ascii="宋体" w:hAnsi="宋体"/>
                <w:szCs w:val="21"/>
              </w:rPr>
            </w:pPr>
          </w:p>
        </w:tc>
        <w:tc>
          <w:tcPr>
            <w:tcW w:w="1420" w:type="dxa"/>
            <w:vMerge w:val="continue"/>
          </w:tcPr>
          <w:p>
            <w:pPr>
              <w:jc w:val="center"/>
              <w:rPr>
                <w:rFonts w:ascii="宋体" w:hAnsi="宋体"/>
                <w:szCs w:val="21"/>
              </w:rPr>
            </w:pPr>
          </w:p>
        </w:tc>
        <w:tc>
          <w:tcPr>
            <w:tcW w:w="1419" w:type="dxa"/>
            <w:vMerge w:val="continue"/>
          </w:tcPr>
          <w:p>
            <w:pPr>
              <w:jc w:val="center"/>
              <w:rPr>
                <w:rFonts w:ascii="宋体" w:hAnsi="宋体"/>
                <w:szCs w:val="21"/>
              </w:rPr>
            </w:pPr>
          </w:p>
        </w:tc>
        <w:tc>
          <w:tcPr>
            <w:tcW w:w="1200" w:type="dxa"/>
            <w:vMerge w:val="continue"/>
          </w:tcPr>
          <w:p>
            <w:pPr>
              <w:jc w:val="center"/>
              <w:rPr>
                <w:rFonts w:ascii="宋体" w:hAnsi="宋体"/>
                <w:szCs w:val="21"/>
              </w:rPr>
            </w:pPr>
          </w:p>
        </w:tc>
        <w:tc>
          <w:tcPr>
            <w:tcW w:w="1500" w:type="dxa"/>
            <w:vMerge w:val="continue"/>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189" w:type="dxa"/>
          </w:tcPr>
          <w:p>
            <w:pPr>
              <w:spacing w:line="360" w:lineRule="auto"/>
              <w:rPr>
                <w:rFonts w:ascii="宋体" w:hAnsi="宋体"/>
                <w:szCs w:val="21"/>
              </w:rPr>
            </w:pPr>
          </w:p>
        </w:tc>
        <w:tc>
          <w:tcPr>
            <w:tcW w:w="1390" w:type="dxa"/>
          </w:tcPr>
          <w:p>
            <w:pPr>
              <w:spacing w:line="360" w:lineRule="auto"/>
              <w:rPr>
                <w:rFonts w:ascii="宋体" w:hAnsi="宋体"/>
                <w:szCs w:val="21"/>
              </w:rPr>
            </w:pPr>
          </w:p>
        </w:tc>
        <w:tc>
          <w:tcPr>
            <w:tcW w:w="1390" w:type="dxa"/>
          </w:tcPr>
          <w:p>
            <w:pPr>
              <w:spacing w:line="360" w:lineRule="auto"/>
              <w:rPr>
                <w:rFonts w:ascii="宋体" w:hAnsi="宋体"/>
                <w:szCs w:val="21"/>
              </w:rPr>
            </w:pPr>
          </w:p>
        </w:tc>
        <w:tc>
          <w:tcPr>
            <w:tcW w:w="1216" w:type="dxa"/>
          </w:tcPr>
          <w:p>
            <w:pPr>
              <w:spacing w:line="360" w:lineRule="auto"/>
              <w:rPr>
                <w:rFonts w:ascii="宋体" w:hAnsi="宋体"/>
                <w:szCs w:val="21"/>
              </w:rPr>
            </w:pPr>
          </w:p>
        </w:tc>
        <w:tc>
          <w:tcPr>
            <w:tcW w:w="868" w:type="dxa"/>
          </w:tcPr>
          <w:p>
            <w:pPr>
              <w:spacing w:line="360" w:lineRule="auto"/>
              <w:jc w:val="center"/>
              <w:rPr>
                <w:rFonts w:ascii="宋体" w:hAnsi="宋体"/>
                <w:szCs w:val="21"/>
              </w:rPr>
            </w:pPr>
          </w:p>
        </w:tc>
        <w:tc>
          <w:tcPr>
            <w:tcW w:w="1042" w:type="dxa"/>
          </w:tcPr>
          <w:p>
            <w:pPr>
              <w:spacing w:line="360" w:lineRule="auto"/>
              <w:jc w:val="center"/>
              <w:rPr>
                <w:rFonts w:ascii="宋体" w:hAnsi="宋体"/>
                <w:szCs w:val="21"/>
              </w:rPr>
            </w:pPr>
          </w:p>
        </w:tc>
        <w:tc>
          <w:tcPr>
            <w:tcW w:w="1013" w:type="dxa"/>
          </w:tcPr>
          <w:p>
            <w:pPr>
              <w:spacing w:line="360" w:lineRule="auto"/>
              <w:jc w:val="center"/>
              <w:rPr>
                <w:rFonts w:ascii="宋体" w:hAnsi="宋体"/>
                <w:szCs w:val="21"/>
              </w:rPr>
            </w:pPr>
          </w:p>
        </w:tc>
        <w:tc>
          <w:tcPr>
            <w:tcW w:w="1420" w:type="dxa"/>
            <w:vMerge w:val="continue"/>
          </w:tcPr>
          <w:p>
            <w:pPr>
              <w:jc w:val="center"/>
              <w:rPr>
                <w:rFonts w:ascii="宋体" w:hAnsi="宋体"/>
                <w:szCs w:val="21"/>
              </w:rPr>
            </w:pPr>
          </w:p>
        </w:tc>
        <w:tc>
          <w:tcPr>
            <w:tcW w:w="1419" w:type="dxa"/>
            <w:vMerge w:val="continue"/>
          </w:tcPr>
          <w:p>
            <w:pPr>
              <w:jc w:val="center"/>
              <w:rPr>
                <w:rFonts w:ascii="宋体" w:hAnsi="宋体"/>
                <w:szCs w:val="21"/>
              </w:rPr>
            </w:pPr>
          </w:p>
        </w:tc>
        <w:tc>
          <w:tcPr>
            <w:tcW w:w="1200" w:type="dxa"/>
            <w:vMerge w:val="continue"/>
          </w:tcPr>
          <w:p>
            <w:pPr>
              <w:jc w:val="center"/>
              <w:rPr>
                <w:rFonts w:ascii="宋体" w:hAnsi="宋体"/>
                <w:szCs w:val="21"/>
              </w:rPr>
            </w:pPr>
          </w:p>
        </w:tc>
        <w:tc>
          <w:tcPr>
            <w:tcW w:w="1500" w:type="dxa"/>
            <w:vMerge w:val="continue"/>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189" w:type="dxa"/>
          </w:tcPr>
          <w:p>
            <w:pPr>
              <w:spacing w:line="360" w:lineRule="auto"/>
              <w:rPr>
                <w:rFonts w:ascii="宋体" w:hAnsi="宋体"/>
                <w:szCs w:val="21"/>
              </w:rPr>
            </w:pPr>
          </w:p>
        </w:tc>
        <w:tc>
          <w:tcPr>
            <w:tcW w:w="1390" w:type="dxa"/>
          </w:tcPr>
          <w:p>
            <w:pPr>
              <w:spacing w:line="360" w:lineRule="auto"/>
              <w:rPr>
                <w:rFonts w:ascii="宋体" w:hAnsi="宋体"/>
                <w:szCs w:val="21"/>
              </w:rPr>
            </w:pPr>
          </w:p>
        </w:tc>
        <w:tc>
          <w:tcPr>
            <w:tcW w:w="1390" w:type="dxa"/>
          </w:tcPr>
          <w:p>
            <w:pPr>
              <w:spacing w:line="360" w:lineRule="auto"/>
              <w:rPr>
                <w:rFonts w:ascii="宋体" w:hAnsi="宋体"/>
                <w:szCs w:val="21"/>
              </w:rPr>
            </w:pPr>
          </w:p>
        </w:tc>
        <w:tc>
          <w:tcPr>
            <w:tcW w:w="1216" w:type="dxa"/>
          </w:tcPr>
          <w:p>
            <w:pPr>
              <w:spacing w:line="360" w:lineRule="auto"/>
              <w:rPr>
                <w:rFonts w:ascii="宋体" w:hAnsi="宋体"/>
                <w:szCs w:val="21"/>
              </w:rPr>
            </w:pPr>
          </w:p>
        </w:tc>
        <w:tc>
          <w:tcPr>
            <w:tcW w:w="868" w:type="dxa"/>
          </w:tcPr>
          <w:p>
            <w:pPr>
              <w:spacing w:line="360" w:lineRule="auto"/>
              <w:jc w:val="center"/>
              <w:rPr>
                <w:rFonts w:ascii="宋体" w:hAnsi="宋体"/>
                <w:szCs w:val="21"/>
              </w:rPr>
            </w:pPr>
          </w:p>
        </w:tc>
        <w:tc>
          <w:tcPr>
            <w:tcW w:w="1042" w:type="dxa"/>
          </w:tcPr>
          <w:p>
            <w:pPr>
              <w:spacing w:line="360" w:lineRule="auto"/>
              <w:jc w:val="center"/>
              <w:rPr>
                <w:rFonts w:ascii="宋体" w:hAnsi="宋体"/>
                <w:szCs w:val="21"/>
              </w:rPr>
            </w:pPr>
          </w:p>
        </w:tc>
        <w:tc>
          <w:tcPr>
            <w:tcW w:w="1013" w:type="dxa"/>
          </w:tcPr>
          <w:p>
            <w:pPr>
              <w:spacing w:line="360" w:lineRule="auto"/>
              <w:jc w:val="center"/>
              <w:rPr>
                <w:rFonts w:ascii="宋体" w:hAnsi="宋体"/>
                <w:szCs w:val="21"/>
              </w:rPr>
            </w:pPr>
          </w:p>
        </w:tc>
        <w:tc>
          <w:tcPr>
            <w:tcW w:w="1420" w:type="dxa"/>
            <w:vMerge w:val="continue"/>
          </w:tcPr>
          <w:p>
            <w:pPr>
              <w:jc w:val="center"/>
              <w:rPr>
                <w:rFonts w:ascii="宋体" w:hAnsi="宋体"/>
                <w:szCs w:val="21"/>
              </w:rPr>
            </w:pPr>
          </w:p>
        </w:tc>
        <w:tc>
          <w:tcPr>
            <w:tcW w:w="1419" w:type="dxa"/>
            <w:vMerge w:val="continue"/>
          </w:tcPr>
          <w:p>
            <w:pPr>
              <w:jc w:val="center"/>
              <w:rPr>
                <w:rFonts w:ascii="宋体" w:hAnsi="宋体"/>
                <w:szCs w:val="21"/>
              </w:rPr>
            </w:pPr>
          </w:p>
        </w:tc>
        <w:tc>
          <w:tcPr>
            <w:tcW w:w="1200" w:type="dxa"/>
            <w:vMerge w:val="continue"/>
          </w:tcPr>
          <w:p>
            <w:pPr>
              <w:jc w:val="center"/>
              <w:rPr>
                <w:rFonts w:ascii="宋体" w:hAnsi="宋体"/>
                <w:szCs w:val="21"/>
              </w:rPr>
            </w:pPr>
          </w:p>
        </w:tc>
        <w:tc>
          <w:tcPr>
            <w:tcW w:w="1500" w:type="dxa"/>
            <w:vMerge w:val="continue"/>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189" w:type="dxa"/>
          </w:tcPr>
          <w:p>
            <w:pPr>
              <w:spacing w:line="360" w:lineRule="auto"/>
              <w:rPr>
                <w:rFonts w:ascii="宋体" w:hAnsi="宋体"/>
                <w:szCs w:val="21"/>
              </w:rPr>
            </w:pPr>
            <w:r>
              <w:rPr>
                <w:rFonts w:hint="eastAsia" w:ascii="宋体" w:hAnsi="宋体"/>
                <w:szCs w:val="21"/>
              </w:rPr>
              <w:t>合计</w:t>
            </w:r>
          </w:p>
        </w:tc>
        <w:tc>
          <w:tcPr>
            <w:tcW w:w="1390" w:type="dxa"/>
          </w:tcPr>
          <w:p>
            <w:pPr>
              <w:spacing w:line="360" w:lineRule="auto"/>
              <w:rPr>
                <w:rFonts w:ascii="宋体" w:hAnsi="宋体"/>
                <w:szCs w:val="21"/>
              </w:rPr>
            </w:pPr>
          </w:p>
        </w:tc>
        <w:tc>
          <w:tcPr>
            <w:tcW w:w="1390" w:type="dxa"/>
          </w:tcPr>
          <w:p>
            <w:pPr>
              <w:spacing w:line="360" w:lineRule="auto"/>
              <w:rPr>
                <w:rFonts w:ascii="宋体" w:hAnsi="宋体"/>
                <w:szCs w:val="21"/>
              </w:rPr>
            </w:pPr>
          </w:p>
        </w:tc>
        <w:tc>
          <w:tcPr>
            <w:tcW w:w="1216" w:type="dxa"/>
          </w:tcPr>
          <w:p>
            <w:pPr>
              <w:spacing w:line="360" w:lineRule="auto"/>
              <w:rPr>
                <w:rFonts w:ascii="宋体" w:hAnsi="宋体"/>
                <w:szCs w:val="21"/>
              </w:rPr>
            </w:pPr>
          </w:p>
        </w:tc>
        <w:tc>
          <w:tcPr>
            <w:tcW w:w="868" w:type="dxa"/>
          </w:tcPr>
          <w:p>
            <w:pPr>
              <w:spacing w:line="360" w:lineRule="auto"/>
              <w:jc w:val="center"/>
              <w:rPr>
                <w:rFonts w:ascii="宋体" w:hAnsi="宋体"/>
                <w:szCs w:val="21"/>
              </w:rPr>
            </w:pPr>
          </w:p>
        </w:tc>
        <w:tc>
          <w:tcPr>
            <w:tcW w:w="1042" w:type="dxa"/>
          </w:tcPr>
          <w:p>
            <w:pPr>
              <w:spacing w:line="360" w:lineRule="auto"/>
              <w:jc w:val="center"/>
              <w:rPr>
                <w:rFonts w:ascii="宋体" w:hAnsi="宋体"/>
                <w:szCs w:val="21"/>
              </w:rPr>
            </w:pPr>
          </w:p>
        </w:tc>
        <w:tc>
          <w:tcPr>
            <w:tcW w:w="1013" w:type="dxa"/>
          </w:tcPr>
          <w:p>
            <w:pPr>
              <w:spacing w:line="360" w:lineRule="auto"/>
              <w:jc w:val="center"/>
              <w:rPr>
                <w:rFonts w:ascii="宋体" w:hAnsi="宋体"/>
                <w:szCs w:val="21"/>
              </w:rPr>
            </w:pPr>
          </w:p>
        </w:tc>
        <w:tc>
          <w:tcPr>
            <w:tcW w:w="1420" w:type="dxa"/>
            <w:vMerge w:val="continue"/>
          </w:tcPr>
          <w:p>
            <w:pPr>
              <w:jc w:val="center"/>
              <w:rPr>
                <w:rFonts w:ascii="宋体" w:hAnsi="宋体"/>
                <w:szCs w:val="21"/>
              </w:rPr>
            </w:pPr>
          </w:p>
        </w:tc>
        <w:tc>
          <w:tcPr>
            <w:tcW w:w="1419" w:type="dxa"/>
            <w:vMerge w:val="continue"/>
          </w:tcPr>
          <w:p>
            <w:pPr>
              <w:jc w:val="center"/>
              <w:rPr>
                <w:rFonts w:ascii="宋体" w:hAnsi="宋体"/>
                <w:szCs w:val="21"/>
              </w:rPr>
            </w:pPr>
          </w:p>
        </w:tc>
        <w:tc>
          <w:tcPr>
            <w:tcW w:w="1200" w:type="dxa"/>
            <w:vMerge w:val="continue"/>
          </w:tcPr>
          <w:p>
            <w:pPr>
              <w:jc w:val="center"/>
              <w:rPr>
                <w:rFonts w:ascii="宋体" w:hAnsi="宋体"/>
                <w:szCs w:val="21"/>
              </w:rPr>
            </w:pPr>
          </w:p>
        </w:tc>
        <w:tc>
          <w:tcPr>
            <w:tcW w:w="1500" w:type="dxa"/>
            <w:vMerge w:val="continue"/>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4647" w:type="dxa"/>
            <w:gridSpan w:val="11"/>
          </w:tcPr>
          <w:p>
            <w:pPr>
              <w:spacing w:line="340" w:lineRule="exact"/>
              <w:rPr>
                <w:rFonts w:ascii="宋体" w:hAnsi="宋体"/>
                <w:szCs w:val="21"/>
              </w:rPr>
            </w:pPr>
          </w:p>
          <w:p>
            <w:pPr>
              <w:spacing w:line="380" w:lineRule="exact"/>
              <w:rPr>
                <w:rFonts w:ascii="宋体" w:hAnsi="宋体"/>
                <w:szCs w:val="21"/>
              </w:rPr>
            </w:pPr>
            <w:r>
              <w:rPr>
                <w:rFonts w:hint="eastAsia" w:ascii="宋体" w:hAnsi="宋体"/>
                <w:szCs w:val="21"/>
              </w:rPr>
              <w:t>备注：</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\o\ac(○,1)</w:instrText>
            </w:r>
            <w:r>
              <w:rPr>
                <w:rFonts w:ascii="宋体" w:hAnsi="宋体"/>
                <w:szCs w:val="21"/>
              </w:rPr>
              <w:fldChar w:fldCharType="end"/>
            </w:r>
            <w:r>
              <w:rPr>
                <w:rFonts w:hint="eastAsia" w:ascii="宋体" w:hAnsi="宋体"/>
                <w:szCs w:val="21"/>
              </w:rPr>
              <w:t>总报价人民币大写：</w:t>
            </w:r>
          </w:p>
          <w:p>
            <w:pPr>
              <w:spacing w:line="380" w:lineRule="exact"/>
              <w:ind w:firstLine="625" w:firstLineChars="298"/>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\o\ac(○,2)</w:instrText>
            </w:r>
            <w:r>
              <w:rPr>
                <w:rFonts w:ascii="宋体" w:hAnsi="宋体"/>
                <w:szCs w:val="21"/>
              </w:rPr>
              <w:fldChar w:fldCharType="end"/>
            </w:r>
            <w:r>
              <w:rPr>
                <w:rFonts w:hint="eastAsia" w:ascii="宋体" w:hAnsi="宋体"/>
                <w:szCs w:val="21"/>
              </w:rPr>
              <w:t>质量、工期奖罚条款：</w:t>
            </w:r>
          </w:p>
          <w:p>
            <w:pPr>
              <w:spacing w:line="380" w:lineRule="exact"/>
              <w:ind w:firstLine="625" w:firstLineChars="298"/>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\o\ac(○,3)</w:instrText>
            </w:r>
            <w:r>
              <w:rPr>
                <w:rFonts w:ascii="宋体" w:hAnsi="宋体"/>
                <w:szCs w:val="21"/>
              </w:rPr>
              <w:fldChar w:fldCharType="end"/>
            </w:r>
            <w:r>
              <w:rPr>
                <w:rFonts w:hint="eastAsia" w:ascii="宋体" w:hAnsi="宋体"/>
                <w:szCs w:val="21"/>
              </w:rPr>
              <w:t>安全文明措施费（万元）：</w:t>
            </w:r>
          </w:p>
          <w:p>
            <w:pPr>
              <w:spacing w:line="380" w:lineRule="exact"/>
              <w:ind w:firstLine="205" w:firstLineChars="98"/>
              <w:rPr>
                <w:rFonts w:ascii="宋体" w:hAnsi="宋体"/>
                <w:szCs w:val="21"/>
              </w:rPr>
            </w:pP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\o\ac(○,4)</w:instrText>
            </w:r>
            <w:r>
              <w:rPr>
                <w:rFonts w:ascii="宋体" w:hAnsi="宋体"/>
                <w:szCs w:val="21"/>
              </w:rPr>
              <w:fldChar w:fldCharType="end"/>
            </w:r>
            <w:r>
              <w:rPr>
                <w:rFonts w:hint="eastAsia" w:ascii="宋体" w:hAnsi="宋体"/>
                <w:szCs w:val="21"/>
              </w:rPr>
              <w:t>注册建造师姓名：</w:t>
            </w:r>
            <w:r>
              <w:rPr>
                <w:rFonts w:hint="eastAsia" w:ascii="宋体" w:hAnsi="宋体"/>
                <w:szCs w:val="21"/>
                <w:u w:val="single"/>
              </w:rPr>
              <w:t xml:space="preserve">          </w:t>
            </w:r>
            <w:r>
              <w:rPr>
                <w:rFonts w:hint="eastAsia" w:ascii="宋体" w:hAnsi="宋体"/>
                <w:szCs w:val="21"/>
              </w:rPr>
              <w:t xml:space="preserve"> 手机号：</w:t>
            </w:r>
            <w:r>
              <w:rPr>
                <w:rFonts w:hint="eastAsia" w:ascii="宋体" w:hAnsi="宋体"/>
                <w:szCs w:val="21"/>
                <w:u w:val="single"/>
              </w:rPr>
              <w:t xml:space="preserve">              </w:t>
            </w:r>
            <w:r>
              <w:rPr>
                <w:rFonts w:hint="eastAsia" w:ascii="宋体" w:hAnsi="宋体"/>
                <w:szCs w:val="21"/>
              </w:rPr>
              <w:t>身份证号码：</w:t>
            </w:r>
            <w:r>
              <w:rPr>
                <w:rFonts w:hint="eastAsia" w:ascii="宋体" w:hAnsi="宋体"/>
                <w:szCs w:val="21"/>
                <w:u w:val="single"/>
              </w:rPr>
              <w:t xml:space="preserve">                      </w:t>
            </w:r>
          </w:p>
          <w:p>
            <w:pPr>
              <w:spacing w:line="340" w:lineRule="exact"/>
              <w:jc w:val="center"/>
              <w:rPr>
                <w:rFonts w:ascii="宋体" w:hAnsi="宋体"/>
                <w:szCs w:val="21"/>
              </w:rPr>
            </w:pPr>
            <w:r>
              <w:rPr>
                <w:rFonts w:hint="eastAsia" w:ascii="宋体" w:hAnsi="宋体"/>
                <w:szCs w:val="21"/>
              </w:rPr>
              <w:t xml:space="preserve">                                                                      供应商：（公章）</w:t>
            </w:r>
            <w:r>
              <w:rPr>
                <w:rFonts w:ascii="宋体" w:hAnsi="宋体"/>
                <w:szCs w:val="21"/>
              </w:rPr>
              <w:t xml:space="preserve"> </w:t>
            </w:r>
          </w:p>
          <w:p>
            <w:pPr>
              <w:spacing w:line="340" w:lineRule="exact"/>
              <w:jc w:val="center"/>
              <w:rPr>
                <w:rFonts w:ascii="宋体" w:hAnsi="宋体"/>
                <w:szCs w:val="21"/>
              </w:rPr>
            </w:pPr>
            <w:r>
              <w:rPr>
                <w:rFonts w:hint="eastAsia" w:ascii="宋体" w:hAnsi="宋体"/>
                <w:szCs w:val="21"/>
              </w:rPr>
              <w:t xml:space="preserve">                                                                                                法定代表或其授权委托人：    （签字或盖章）</w:t>
            </w:r>
          </w:p>
          <w:p>
            <w:pPr>
              <w:spacing w:line="340" w:lineRule="exact"/>
              <w:jc w:val="center"/>
              <w:rPr>
                <w:rFonts w:ascii="宋体" w:hAnsi="宋体"/>
                <w:szCs w:val="21"/>
              </w:rPr>
            </w:pPr>
            <w:r>
              <w:rPr>
                <w:rFonts w:hint="eastAsia" w:ascii="宋体" w:hAnsi="宋体"/>
                <w:szCs w:val="21"/>
              </w:rPr>
              <w:t xml:space="preserve">                                                                               年   月   日</w:t>
            </w:r>
          </w:p>
        </w:tc>
      </w:tr>
    </w:tbl>
    <w:p>
      <w:pPr>
        <w:spacing w:beforeLines="50"/>
        <w:rPr>
          <w:rFonts w:ascii="宋体" w:hAnsi="宋体"/>
          <w:szCs w:val="21"/>
        </w:rPr>
        <w:sectPr>
          <w:pgSz w:w="16838" w:h="11906" w:orient="landscape"/>
          <w:pgMar w:top="1134" w:right="1021" w:bottom="1134" w:left="1134" w:header="567" w:footer="1134" w:gutter="284"/>
          <w:cols w:space="720" w:num="1"/>
          <w:titlePg/>
          <w:docGrid w:linePitch="312" w:charSpace="0"/>
        </w:sectPr>
      </w:pPr>
    </w:p>
    <w:p>
      <w:pPr>
        <w:pStyle w:val="4"/>
        <w:jc w:val="center"/>
      </w:pPr>
      <w:r>
        <w:rPr>
          <w:rFonts w:hint="eastAsia"/>
        </w:rPr>
        <w:t>联合体协议书</w:t>
      </w:r>
    </w:p>
    <w:p>
      <w:pPr>
        <w:spacing w:line="400" w:lineRule="exact"/>
        <w:rPr>
          <w:szCs w:val="21"/>
        </w:rPr>
      </w:pPr>
    </w:p>
    <w:p>
      <w:pPr>
        <w:topLinePunct/>
        <w:spacing w:line="440" w:lineRule="exact"/>
        <w:ind w:firstLine="420" w:firstLineChars="200"/>
        <w:rPr>
          <w:szCs w:val="21"/>
        </w:rPr>
      </w:pP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设计</w:t>
      </w:r>
      <w:r>
        <w:rPr>
          <w:szCs w:val="21"/>
        </w:rPr>
        <w:t>施工</w:t>
      </w:r>
      <w:r>
        <w:rPr>
          <w:rFonts w:hint="eastAsia"/>
          <w:szCs w:val="21"/>
        </w:rPr>
        <w:t>总承包</w:t>
      </w:r>
      <w:r>
        <w:rPr>
          <w:szCs w:val="21"/>
        </w:rPr>
        <w:t>投标。现就联合体投标事宜订立如下协议。</w:t>
      </w:r>
    </w:p>
    <w:p>
      <w:pPr>
        <w:topLinePunct/>
        <w:spacing w:line="440" w:lineRule="exact"/>
        <w:ind w:firstLine="420" w:firstLineChars="200"/>
        <w:rPr>
          <w:szCs w:val="21"/>
        </w:rPr>
      </w:pPr>
      <w:r>
        <w:rPr>
          <w:szCs w:val="21"/>
        </w:rPr>
        <w:t>1</w:t>
      </w:r>
      <w:r>
        <w:rPr>
          <w:rFonts w:hint="eastAsia"/>
          <w:szCs w:val="21"/>
        </w:rPr>
        <w:t>、</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pPr>
        <w:topLinePunct/>
        <w:spacing w:line="440" w:lineRule="exact"/>
        <w:ind w:firstLine="420" w:firstLineChars="200"/>
        <w:rPr>
          <w:szCs w:val="21"/>
        </w:rPr>
      </w:pPr>
      <w:r>
        <w:rPr>
          <w:szCs w:val="21"/>
        </w:rPr>
        <w:t>2、联合体牵头人</w:t>
      </w:r>
      <w:r>
        <w:rPr>
          <w:rFonts w:hint="eastAsia"/>
          <w:szCs w:val="21"/>
        </w:rPr>
        <w:t>合法代表联合体各成员负责本招标项目投标文件编制和合同谈判活动，并代表联合体提交和接收相关的资料、信息及指示，并处理与之有关的一切事务，</w:t>
      </w:r>
      <w:r>
        <w:rPr>
          <w:szCs w:val="21"/>
        </w:rPr>
        <w:t>负责合同实施阶段的主办、组织和协调工作。</w:t>
      </w:r>
    </w:p>
    <w:p>
      <w:pPr>
        <w:topLinePunct/>
        <w:spacing w:line="440" w:lineRule="exact"/>
        <w:ind w:firstLine="420" w:firstLineChars="200"/>
        <w:rPr>
          <w:szCs w:val="21"/>
        </w:rPr>
      </w:pPr>
      <w:r>
        <w:rPr>
          <w:szCs w:val="21"/>
        </w:rPr>
        <w:t>3、联合体将严格按照招标文件的各项要求，递交投标文件，履行合同，并对外承担连带责任。</w:t>
      </w:r>
    </w:p>
    <w:p>
      <w:pPr>
        <w:topLinePunct/>
        <w:spacing w:line="440" w:lineRule="exact"/>
        <w:ind w:firstLine="420" w:firstLineChars="200"/>
        <w:rPr>
          <w:szCs w:val="21"/>
        </w:rPr>
      </w:pPr>
      <w:r>
        <w:rPr>
          <w:szCs w:val="21"/>
        </w:rPr>
        <w:t>4、联合体各成员单位内部的职责分工如下：</w:t>
      </w:r>
      <w:r>
        <w:rPr>
          <w:szCs w:val="21"/>
          <w:u w:val="single"/>
        </w:rPr>
        <w:t xml:space="preserve">                 </w:t>
      </w:r>
      <w:r>
        <w:rPr>
          <w:szCs w:val="21"/>
        </w:rPr>
        <w:t xml:space="preserve"> 。</w:t>
      </w:r>
    </w:p>
    <w:p>
      <w:pPr>
        <w:topLinePunct/>
        <w:spacing w:line="440" w:lineRule="exact"/>
        <w:ind w:firstLine="420" w:firstLineChars="200"/>
        <w:rPr>
          <w:szCs w:val="21"/>
        </w:rPr>
      </w:pPr>
      <w:r>
        <w:rPr>
          <w:szCs w:val="21"/>
        </w:rPr>
        <w:t xml:space="preserve">5、本协议书自签署之日起生效，合同履行完毕后自动失效。 </w:t>
      </w:r>
    </w:p>
    <w:p>
      <w:pPr>
        <w:topLinePunct/>
        <w:spacing w:line="440" w:lineRule="exact"/>
        <w:ind w:firstLine="420" w:firstLineChars="200"/>
        <w:rPr>
          <w:szCs w:val="21"/>
        </w:rPr>
      </w:pPr>
      <w:r>
        <w:rPr>
          <w:szCs w:val="21"/>
        </w:rPr>
        <w:t>6、本协议书一式</w:t>
      </w:r>
      <w:r>
        <w:rPr>
          <w:szCs w:val="21"/>
          <w:u w:val="single"/>
        </w:rPr>
        <w:t xml:space="preserve">  </w:t>
      </w:r>
      <w:r>
        <w:rPr>
          <w:rFonts w:hint="eastAsia"/>
          <w:szCs w:val="21"/>
          <w:u w:val="single"/>
        </w:rPr>
        <w:t xml:space="preserve">  </w:t>
      </w:r>
      <w:r>
        <w:rPr>
          <w:szCs w:val="21"/>
          <w:u w:val="single"/>
        </w:rPr>
        <w:t xml:space="preserve"> </w:t>
      </w:r>
      <w:r>
        <w:rPr>
          <w:szCs w:val="21"/>
        </w:rPr>
        <w:t>份，联合体成员和招标人各执一份。</w:t>
      </w:r>
    </w:p>
    <w:p>
      <w:pPr>
        <w:topLinePunct/>
        <w:spacing w:line="440" w:lineRule="exact"/>
        <w:rPr>
          <w:szCs w:val="21"/>
        </w:rPr>
      </w:pPr>
    </w:p>
    <w:p>
      <w:pPr>
        <w:topLinePunct/>
        <w:spacing w:line="440" w:lineRule="exact"/>
        <w:ind w:firstLine="420" w:firstLineChars="200"/>
        <w:rPr>
          <w:szCs w:val="21"/>
        </w:rPr>
      </w:pPr>
      <w:r>
        <w:rPr>
          <w:rFonts w:hint="eastAsia"/>
          <w:szCs w:val="21"/>
        </w:rPr>
        <w:t>注：本协议书由委托代理人签字的，应附法定代表人签字的授权委托书。</w:t>
      </w:r>
    </w:p>
    <w:p>
      <w:pPr>
        <w:topLinePunct/>
        <w:spacing w:line="440" w:lineRule="exact"/>
        <w:rPr>
          <w:szCs w:val="21"/>
        </w:rPr>
      </w:pPr>
    </w:p>
    <w:p>
      <w:pPr>
        <w:topLinePunct/>
        <w:spacing w:line="440" w:lineRule="exact"/>
        <w:rPr>
          <w:szCs w:val="21"/>
        </w:rPr>
      </w:pPr>
      <w:r>
        <w:rPr>
          <w:szCs w:val="21"/>
        </w:rPr>
        <w:t>牵头人名称：</w:t>
      </w:r>
      <w:r>
        <w:rPr>
          <w:szCs w:val="21"/>
          <w:u w:val="single"/>
        </w:rPr>
        <w:t xml:space="preserve">                                 </w:t>
      </w:r>
      <w:r>
        <w:rPr>
          <w:szCs w:val="21"/>
        </w:rPr>
        <w:t>（盖单位章）</w:t>
      </w:r>
    </w:p>
    <w:p>
      <w:pPr>
        <w:topLinePunct/>
        <w:spacing w:line="440" w:lineRule="exact"/>
        <w:rPr>
          <w:szCs w:val="21"/>
        </w:rPr>
      </w:pPr>
      <w:r>
        <w:rPr>
          <w:szCs w:val="21"/>
        </w:rPr>
        <w:t>法定代表人或其委托代理人：</w:t>
      </w:r>
      <w:r>
        <w:rPr>
          <w:szCs w:val="21"/>
          <w:u w:val="single"/>
        </w:rPr>
        <w:t xml:space="preserve">                       </w:t>
      </w:r>
      <w:r>
        <w:rPr>
          <w:szCs w:val="21"/>
        </w:rPr>
        <w:t>（签字）</w:t>
      </w:r>
    </w:p>
    <w:p>
      <w:pPr>
        <w:topLinePunct/>
        <w:spacing w:line="440" w:lineRule="exact"/>
        <w:rPr>
          <w:szCs w:val="21"/>
        </w:rPr>
      </w:pPr>
    </w:p>
    <w:p>
      <w:pPr>
        <w:topLinePunct/>
        <w:spacing w:line="440" w:lineRule="exact"/>
        <w:rPr>
          <w:szCs w:val="21"/>
        </w:rPr>
      </w:pPr>
      <w:r>
        <w:rPr>
          <w:szCs w:val="21"/>
        </w:rPr>
        <w:t>成员一名称：</w:t>
      </w:r>
      <w:r>
        <w:rPr>
          <w:szCs w:val="21"/>
          <w:u w:val="single"/>
        </w:rPr>
        <w:t xml:space="preserve">                                 </w:t>
      </w:r>
      <w:r>
        <w:rPr>
          <w:szCs w:val="21"/>
        </w:rPr>
        <w:t>（盖单位章）</w:t>
      </w:r>
    </w:p>
    <w:p>
      <w:pPr>
        <w:topLinePunct/>
        <w:spacing w:line="440" w:lineRule="exact"/>
        <w:rPr>
          <w:szCs w:val="21"/>
        </w:rPr>
      </w:pPr>
      <w:r>
        <w:rPr>
          <w:szCs w:val="21"/>
        </w:rPr>
        <w:t>法定代表人或其委托代理人：</w:t>
      </w:r>
      <w:r>
        <w:rPr>
          <w:szCs w:val="21"/>
          <w:u w:val="single"/>
        </w:rPr>
        <w:t xml:space="preserve">                       </w:t>
      </w:r>
      <w:r>
        <w:rPr>
          <w:szCs w:val="21"/>
        </w:rPr>
        <w:t>（签字）</w:t>
      </w:r>
    </w:p>
    <w:p>
      <w:pPr>
        <w:topLinePunct/>
        <w:spacing w:line="440" w:lineRule="exact"/>
        <w:rPr>
          <w:szCs w:val="21"/>
        </w:rPr>
      </w:pPr>
      <w:r>
        <w:rPr>
          <w:szCs w:val="21"/>
        </w:rPr>
        <w:t xml:space="preserve"> </w:t>
      </w:r>
    </w:p>
    <w:p>
      <w:pPr>
        <w:topLinePunct/>
        <w:spacing w:line="440" w:lineRule="exact"/>
        <w:rPr>
          <w:szCs w:val="21"/>
        </w:rPr>
      </w:pPr>
      <w:r>
        <w:rPr>
          <w:szCs w:val="21"/>
        </w:rPr>
        <w:t>成员二名称：</w:t>
      </w:r>
      <w:r>
        <w:rPr>
          <w:szCs w:val="21"/>
          <w:u w:val="single"/>
        </w:rPr>
        <w:t xml:space="preserve">                                 </w:t>
      </w:r>
      <w:r>
        <w:rPr>
          <w:szCs w:val="21"/>
        </w:rPr>
        <w:t>（盖单位章）</w:t>
      </w:r>
    </w:p>
    <w:p>
      <w:pPr>
        <w:topLinePunct/>
        <w:spacing w:line="440" w:lineRule="exact"/>
        <w:rPr>
          <w:szCs w:val="21"/>
        </w:rPr>
      </w:pPr>
      <w:r>
        <w:rPr>
          <w:szCs w:val="21"/>
        </w:rPr>
        <w:t>法定代表人或其委托代理人：</w:t>
      </w:r>
      <w:r>
        <w:rPr>
          <w:szCs w:val="21"/>
          <w:u w:val="single"/>
        </w:rPr>
        <w:t xml:space="preserve">                       </w:t>
      </w:r>
      <w:r>
        <w:rPr>
          <w:szCs w:val="21"/>
        </w:rPr>
        <w:t>（签字）</w:t>
      </w:r>
    </w:p>
    <w:p>
      <w:pPr>
        <w:topLinePunct/>
        <w:spacing w:line="440" w:lineRule="exact"/>
        <w:rPr>
          <w:szCs w:val="21"/>
        </w:rPr>
      </w:pPr>
      <w:r>
        <w:rPr>
          <w:szCs w:val="21"/>
        </w:rPr>
        <w:t xml:space="preserve">…… </w:t>
      </w:r>
    </w:p>
    <w:p>
      <w:pPr>
        <w:topLinePunct/>
        <w:spacing w:line="440" w:lineRule="exact"/>
        <w:rPr>
          <w:szCs w:val="21"/>
        </w:rPr>
      </w:pPr>
    </w:p>
    <w:p>
      <w:pPr>
        <w:ind w:firstLine="2879" w:firstLineChars="1371"/>
      </w:pP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r>
        <w:t>日</w:t>
      </w:r>
    </w:p>
    <w:p>
      <w:pPr>
        <w:pStyle w:val="16"/>
        <w:outlineLvl w:val="9"/>
        <w:rPr>
          <w:rFonts w:hint="eastAsia"/>
        </w:rPr>
      </w:pPr>
    </w:p>
    <w:p>
      <w:pPr>
        <w:rPr>
          <w:rFonts w:hint="eastAsia"/>
        </w:rPr>
      </w:pPr>
    </w:p>
    <w:p>
      <w:pPr>
        <w:pStyle w:val="16"/>
        <w:outlineLvl w:val="9"/>
        <w:rPr>
          <w:rFonts w:hint="eastAsia"/>
        </w:rPr>
      </w:pPr>
    </w:p>
    <w:p>
      <w:pPr>
        <w:pStyle w:val="16"/>
        <w:outlineLvl w:val="9"/>
        <w:rPr>
          <w:rFonts w:hint="eastAsia"/>
        </w:rPr>
      </w:pPr>
    </w:p>
    <w:p>
      <w:pPr>
        <w:pStyle w:val="16"/>
        <w:outlineLvl w:val="9"/>
        <w:rPr>
          <w:rFonts w:hint="eastAsia"/>
        </w:rPr>
      </w:pPr>
    </w:p>
    <w:p>
      <w:pPr>
        <w:pStyle w:val="16"/>
        <w:outlineLvl w:val="9"/>
        <w:rPr>
          <w:rFonts w:hint="eastAsia"/>
        </w:rPr>
      </w:pPr>
    </w:p>
    <w:p>
      <w:pPr>
        <w:pStyle w:val="16"/>
        <w:outlineLvl w:val="9"/>
        <w:rPr>
          <w:rFonts w:hint="eastAsia"/>
        </w:rPr>
      </w:pPr>
    </w:p>
    <w:p>
      <w:pPr>
        <w:pStyle w:val="16"/>
        <w:outlineLvl w:val="9"/>
      </w:pPr>
      <w:r>
        <w:rPr>
          <w:rFonts w:hint="eastAsia"/>
        </w:rPr>
        <w:t>三、法定代表人身份证明</w:t>
      </w:r>
    </w:p>
    <w:p>
      <w:pPr>
        <w:spacing w:beforeLines="100" w:afterLines="50"/>
        <w:jc w:val="center"/>
        <w:rPr>
          <w:rFonts w:ascii="黑体" w:hAnsi="宋体" w:eastAsia="黑体"/>
          <w:sz w:val="28"/>
          <w:szCs w:val="28"/>
        </w:rPr>
      </w:pPr>
      <w:r>
        <w:rPr>
          <w:rFonts w:hint="eastAsia" w:ascii="黑体" w:hAnsi="宋体" w:eastAsia="黑体"/>
          <w:sz w:val="28"/>
          <w:szCs w:val="28"/>
        </w:rPr>
        <w:t>法定代表人身份证明</w:t>
      </w:r>
    </w:p>
    <w:p/>
    <w:p/>
    <w:p>
      <w:pPr>
        <w:spacing w:line="500" w:lineRule="exact"/>
        <w:rPr>
          <w:rFonts w:ascii="黑体" w:hAnsi="宋体" w:eastAsia="黑体"/>
          <w:szCs w:val="21"/>
        </w:rPr>
      </w:pPr>
      <w:r>
        <w:rPr>
          <w:rFonts w:hint="eastAsia" w:ascii="黑体" w:hAnsi="宋体" w:eastAsia="黑体"/>
          <w:szCs w:val="21"/>
        </w:rPr>
        <w:t>投 标 人：</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单位性质：</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地    址：</w:t>
      </w:r>
      <w:r>
        <w:rPr>
          <w:rFonts w:hint="eastAsia" w:ascii="宋体" w:hAnsi="宋体"/>
          <w:szCs w:val="21"/>
          <w:u w:val="single"/>
        </w:rPr>
        <w:t xml:space="preserve">                                                        </w:t>
      </w:r>
    </w:p>
    <w:p>
      <w:pPr>
        <w:spacing w:line="500" w:lineRule="exact"/>
        <w:rPr>
          <w:rFonts w:ascii="宋体" w:hAnsi="宋体"/>
          <w:szCs w:val="21"/>
        </w:rPr>
      </w:pPr>
      <w:r>
        <w:rPr>
          <w:rFonts w:hint="eastAsia" w:ascii="黑体" w:hAnsi="宋体" w:eastAsia="黑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rPr>
          <w:rFonts w:ascii="黑体" w:hAnsi="宋体" w:eastAsia="黑体"/>
          <w:szCs w:val="21"/>
        </w:rPr>
      </w:pPr>
      <w:r>
        <w:rPr>
          <w:rFonts w:hint="eastAsia" w:ascii="黑体" w:hAnsi="宋体" w:eastAsia="黑体"/>
          <w:szCs w:val="21"/>
        </w:rPr>
        <w:t>经营期限：</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姓    名：</w:t>
      </w:r>
      <w:r>
        <w:rPr>
          <w:rFonts w:hint="eastAsia" w:ascii="宋体" w:hAnsi="宋体"/>
          <w:szCs w:val="21"/>
          <w:u w:val="single"/>
        </w:rPr>
        <w:t xml:space="preserve">                          </w:t>
      </w:r>
      <w:r>
        <w:rPr>
          <w:rFonts w:hint="eastAsia" w:ascii="黑体" w:hAnsi="宋体" w:eastAsia="黑体"/>
          <w:szCs w:val="21"/>
        </w:rPr>
        <w:t>性        别：</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年    龄：</w:t>
      </w:r>
      <w:r>
        <w:rPr>
          <w:rFonts w:hint="eastAsia" w:ascii="宋体" w:hAnsi="宋体"/>
          <w:szCs w:val="21"/>
          <w:u w:val="single"/>
        </w:rPr>
        <w:t xml:space="preserve">                          </w:t>
      </w:r>
      <w:r>
        <w:rPr>
          <w:rFonts w:hint="eastAsia" w:ascii="黑体" w:hAnsi="宋体" w:eastAsia="黑体"/>
          <w:szCs w:val="21"/>
        </w:rPr>
        <w:t>职        务：</w:t>
      </w:r>
      <w:r>
        <w:rPr>
          <w:rFonts w:hint="eastAsia" w:ascii="宋体" w:hAnsi="宋体"/>
          <w:szCs w:val="21"/>
          <w:u w:val="single"/>
        </w:rPr>
        <w:t xml:space="preserve">                </w:t>
      </w:r>
    </w:p>
    <w:p>
      <w:pPr>
        <w:spacing w:line="500" w:lineRule="exact"/>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（供应商名称）的法定代表人。</w:t>
      </w:r>
    </w:p>
    <w:p>
      <w:pPr>
        <w:spacing w:line="500" w:lineRule="exact"/>
        <w:rPr>
          <w:rFonts w:ascii="宋体" w:hAnsi="宋体"/>
          <w:szCs w:val="21"/>
        </w:rPr>
      </w:pPr>
      <w:r>
        <w:rPr>
          <w:rFonts w:hint="eastAsia" w:ascii="宋体" w:hAnsi="宋体"/>
          <w:szCs w:val="21"/>
        </w:rPr>
        <w:t>特此证明。</w:t>
      </w:r>
    </w:p>
    <w:p>
      <w:pPr>
        <w:spacing w:line="500" w:lineRule="exact"/>
        <w:rPr>
          <w:rFonts w:ascii="宋体" w:hAnsi="宋体"/>
          <w:szCs w:val="21"/>
        </w:rPr>
      </w:pPr>
    </w:p>
    <w:p>
      <w:pPr>
        <w:spacing w:line="500" w:lineRule="exact"/>
        <w:rPr>
          <w:rFonts w:ascii="宋体" w:hAnsi="宋体"/>
          <w:szCs w:val="21"/>
        </w:rPr>
      </w:pPr>
    </w:p>
    <w:p>
      <w:pPr>
        <w:wordWrap w:val="0"/>
        <w:spacing w:line="500" w:lineRule="exact"/>
        <w:jc w:val="right"/>
        <w:rPr>
          <w:rFonts w:ascii="宋体" w:hAnsi="宋体"/>
          <w:szCs w:val="21"/>
        </w:rPr>
      </w:pPr>
      <w:r>
        <w:rPr>
          <w:rFonts w:hint="eastAsia" w:ascii="黑体" w:hAnsi="宋体" w:eastAsia="黑体"/>
          <w:szCs w:val="21"/>
        </w:rPr>
        <w:t>供应商：</w:t>
      </w:r>
      <w:r>
        <w:rPr>
          <w:rFonts w:hint="eastAsia" w:ascii="宋体" w:hAnsi="宋体"/>
          <w:szCs w:val="21"/>
          <w:u w:val="single"/>
        </w:rPr>
        <w:t xml:space="preserve">                          </w:t>
      </w:r>
      <w:r>
        <w:rPr>
          <w:rFonts w:hint="eastAsia" w:ascii="宋体" w:hAnsi="宋体"/>
          <w:szCs w:val="21"/>
        </w:rPr>
        <w:t>（单位公章）</w:t>
      </w:r>
    </w:p>
    <w:p>
      <w:pPr>
        <w:wordWrap w:val="0"/>
        <w:spacing w:line="500" w:lineRule="exact"/>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240" w:lineRule="exact"/>
        <w:jc w:val="center"/>
        <w:rPr>
          <w:rFonts w:ascii="黑体" w:hAnsi="宋体" w:eastAsia="黑体"/>
          <w:sz w:val="10"/>
          <w:szCs w:val="10"/>
        </w:rPr>
      </w:pPr>
      <w:r>
        <w:rPr>
          <w:rFonts w:ascii="黑体" w:hAnsi="宋体" w:eastAsia="黑体"/>
          <w:sz w:val="28"/>
          <w:szCs w:val="28"/>
        </w:rPr>
        <w:br w:type="page"/>
      </w:r>
    </w:p>
    <w:p>
      <w:pPr>
        <w:spacing w:beforeLines="100" w:afterLines="50"/>
        <w:jc w:val="center"/>
        <w:rPr>
          <w:rFonts w:ascii="黑体" w:hAnsi="宋体" w:eastAsia="黑体"/>
          <w:sz w:val="28"/>
          <w:szCs w:val="28"/>
        </w:rPr>
      </w:pPr>
      <w:r>
        <w:rPr>
          <w:rFonts w:hint="eastAsia" w:ascii="黑体" w:hAnsi="宋体" w:eastAsia="黑体"/>
          <w:sz w:val="28"/>
          <w:szCs w:val="28"/>
        </w:rPr>
        <w:t>法定代表授权委托书</w:t>
      </w:r>
    </w:p>
    <w:p>
      <w:pPr>
        <w:spacing w:line="500" w:lineRule="exact"/>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（供应商名称）的法定代表人，现授权</w:t>
      </w:r>
      <w:r>
        <w:rPr>
          <w:rFonts w:hint="eastAsia" w:ascii="宋体" w:hAnsi="宋体"/>
          <w:szCs w:val="21"/>
          <w:u w:val="single"/>
        </w:rPr>
        <w:t xml:space="preserve">      </w:t>
      </w:r>
      <w:r>
        <w:rPr>
          <w:rFonts w:hint="eastAsia" w:ascii="宋体" w:hAnsi="宋体"/>
          <w:szCs w:val="21"/>
        </w:rPr>
        <w:t>（姓名）为我方委托人。委托人根据授权，以我方名义签署、澄清、说明、补正、递交、撤回、修改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（报建编号及标段号）施工响应文件、签订合同和处理有关事宜，其法律后果由我方承担。</w:t>
      </w:r>
    </w:p>
    <w:p>
      <w:pPr>
        <w:spacing w:beforeLines="50" w:line="500" w:lineRule="exact"/>
        <w:ind w:firstLine="420" w:firstLineChars="200"/>
        <w:rPr>
          <w:rFonts w:ascii="宋体" w:hAnsi="宋体"/>
          <w:szCs w:val="21"/>
        </w:rPr>
      </w:pPr>
      <w:r>
        <w:rPr>
          <w:rFonts w:hint="eastAsia" w:ascii="宋体" w:hAnsi="宋体"/>
          <w:szCs w:val="21"/>
        </w:rPr>
        <w:t>委托期限：</w:t>
      </w:r>
      <w:r>
        <w:rPr>
          <w:rFonts w:hint="eastAsia" w:ascii="宋体" w:hAnsi="宋体"/>
          <w:szCs w:val="21"/>
          <w:u w:val="single"/>
        </w:rPr>
        <w:t xml:space="preserve">                                                          </w:t>
      </w:r>
    </w:p>
    <w:p>
      <w:pPr>
        <w:spacing w:line="500" w:lineRule="exact"/>
        <w:ind w:firstLine="1260" w:firstLineChars="6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Lines="100" w:afterLines="100" w:line="500" w:lineRule="exact"/>
        <w:ind w:firstLine="420" w:firstLineChars="200"/>
        <w:rPr>
          <w:rFonts w:ascii="宋体" w:hAnsi="宋体"/>
          <w:szCs w:val="21"/>
        </w:rPr>
      </w:pPr>
      <w:r>
        <w:rPr>
          <w:rFonts w:hint="eastAsia" w:ascii="宋体" w:hAnsi="宋体"/>
          <w:szCs w:val="21"/>
        </w:rPr>
        <w:t>授权委托人无转委托权。</w:t>
      </w:r>
    </w:p>
    <w:p>
      <w:pPr>
        <w:spacing w:line="500" w:lineRule="exact"/>
        <w:rPr>
          <w:rFonts w:ascii="宋体" w:hAnsi="宋体"/>
          <w:szCs w:val="21"/>
        </w:rPr>
      </w:pPr>
    </w:p>
    <w:p>
      <w:pPr>
        <w:ind w:firstLine="3570" w:firstLineChars="1700"/>
        <w:rPr>
          <w:rFonts w:ascii="宋体" w:hAnsi="宋体"/>
          <w:szCs w:val="21"/>
        </w:rPr>
      </w:pPr>
      <w:r>
        <w:rPr>
          <w:rFonts w:hint="eastAsia" w:ascii="黑体" w:hAnsi="宋体" w:eastAsia="黑体"/>
          <w:szCs w:val="21"/>
        </w:rPr>
        <w:t>投  标  人：</w:t>
      </w:r>
      <w:r>
        <w:rPr>
          <w:rFonts w:hint="eastAsia" w:ascii="宋体" w:hAnsi="宋体"/>
          <w:szCs w:val="21"/>
          <w:u w:val="single"/>
        </w:rPr>
        <w:t xml:space="preserve">                        </w:t>
      </w:r>
      <w:r>
        <w:rPr>
          <w:rFonts w:hint="eastAsia" w:ascii="宋体" w:hAnsi="宋体"/>
          <w:szCs w:val="21"/>
        </w:rPr>
        <w:t>（单位公章）</w:t>
      </w:r>
    </w:p>
    <w:p>
      <w:pPr>
        <w:ind w:firstLine="3570" w:firstLineChars="1700"/>
        <w:rPr>
          <w:rFonts w:ascii="宋体" w:hAnsi="宋体"/>
          <w:szCs w:val="21"/>
        </w:rPr>
      </w:pPr>
      <w:r>
        <w:rPr>
          <w:rFonts w:hint="eastAsia" w:ascii="黑体" w:hAnsi="宋体" w:eastAsia="黑体"/>
          <w:szCs w:val="21"/>
        </w:rPr>
        <w:t>法定代表人：</w:t>
      </w:r>
      <w:r>
        <w:rPr>
          <w:rFonts w:hint="eastAsia" w:ascii="宋体" w:hAnsi="宋体"/>
          <w:szCs w:val="21"/>
          <w:u w:val="single"/>
        </w:rPr>
        <w:t xml:space="preserve">                       </w:t>
      </w:r>
      <w:r>
        <w:rPr>
          <w:rFonts w:hint="eastAsia" w:ascii="宋体" w:hAnsi="宋体"/>
          <w:szCs w:val="21"/>
        </w:rPr>
        <w:t>（签字或盖章）</w:t>
      </w:r>
    </w:p>
    <w:p>
      <w:pPr>
        <w:ind w:firstLine="3570" w:firstLineChars="1700"/>
        <w:rPr>
          <w:rFonts w:ascii="黑体" w:hAnsi="宋体" w:eastAsia="黑体"/>
          <w:szCs w:val="21"/>
          <w:u w:val="single"/>
        </w:rPr>
      </w:pPr>
      <w:r>
        <w:rPr>
          <w:rFonts w:hint="eastAsia" w:ascii="黑体" w:hAnsi="宋体" w:eastAsia="黑体"/>
          <w:szCs w:val="21"/>
        </w:rPr>
        <w:t>身份证号码：</w:t>
      </w:r>
      <w:r>
        <w:rPr>
          <w:rFonts w:hint="eastAsia" w:ascii="黑体" w:hAnsi="宋体" w:eastAsia="黑体"/>
          <w:szCs w:val="21"/>
          <w:u w:val="single"/>
        </w:rPr>
        <w:t xml:space="preserve">                                   </w:t>
      </w:r>
    </w:p>
    <w:p>
      <w:pPr>
        <w:ind w:firstLine="3570" w:firstLineChars="1700"/>
        <w:rPr>
          <w:rFonts w:ascii="宋体" w:hAnsi="宋体"/>
          <w:szCs w:val="21"/>
        </w:rPr>
      </w:pPr>
      <w:r>
        <w:rPr>
          <w:rFonts w:hint="eastAsia" w:ascii="黑体" w:hAnsi="宋体" w:eastAsia="黑体"/>
          <w:szCs w:val="21"/>
        </w:rPr>
        <w:t>授权委托人：</w:t>
      </w:r>
      <w:r>
        <w:rPr>
          <w:rFonts w:hint="eastAsia" w:ascii="宋体" w:hAnsi="宋体"/>
          <w:szCs w:val="21"/>
          <w:u w:val="single"/>
        </w:rPr>
        <w:t xml:space="preserve">                            </w:t>
      </w:r>
      <w:r>
        <w:rPr>
          <w:rFonts w:hint="eastAsia" w:ascii="宋体" w:hAnsi="宋体"/>
          <w:szCs w:val="21"/>
        </w:rPr>
        <w:t>（签字）</w:t>
      </w:r>
    </w:p>
    <w:p>
      <w:pPr>
        <w:ind w:firstLine="3570" w:firstLineChars="1700"/>
        <w:rPr>
          <w:rFonts w:ascii="黑体" w:hAnsi="宋体" w:eastAsia="黑体"/>
          <w:szCs w:val="21"/>
        </w:rPr>
      </w:pPr>
      <w:r>
        <w:rPr>
          <w:rFonts w:hint="eastAsia" w:ascii="黑体" w:hAnsi="宋体" w:eastAsia="黑体"/>
          <w:szCs w:val="21"/>
        </w:rPr>
        <w:t>身份证号码：</w:t>
      </w:r>
      <w:r>
        <w:rPr>
          <w:rFonts w:hint="eastAsia" w:ascii="黑体" w:hAnsi="宋体" w:eastAsia="黑体"/>
          <w:szCs w:val="21"/>
          <w:u w:val="single"/>
        </w:rPr>
        <w:t xml:space="preserve">                                   </w:t>
      </w:r>
    </w:p>
    <w:p>
      <w:pPr>
        <w:ind w:firstLine="4830" w:firstLineChars="23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16"/>
        <w:outlineLvl w:val="9"/>
      </w:pPr>
      <w:r>
        <w:pict>
          <v:shape id="_x0000_s1026" o:spid="_x0000_s1026" o:spt="202" type="#_x0000_t202" style="position:absolute;left:0pt;margin-left:27pt;margin-top:54.4pt;height:218.2pt;width:315pt;mso-wrap-distance-bottom:0pt;mso-wrap-distance-left:9pt;mso-wrap-distance-right:9pt;mso-wrap-distance-top:0pt;z-index:251659264;mso-width-relative:page;mso-height-relative:page;" coordsize="21600,21600" o:gfxdata="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BXu31wAAAAoBAAAPAAAAAAAAAAEAIAAAACIAAABkcnMvZG93bnJldi54bWxQSwECFAAU&#10;AAAACACHTuJAl07SE/IBAADpAwAADgAAAAAAAAABACAAAAAmAQAAZHJzL2Uyb0RvYy54bWxQSwUG&#10;AAAAAAYABgBZAQAAigUAAAAA&#10;">
            <v:path/>
            <v:fill focussize="0,0"/>
            <v:stroke joinstyle="miter"/>
            <v:imagedata o:title=""/>
            <o:lock v:ext="edit"/>
            <v:textbox>
              <w:txbxContent>
                <w:p>
                  <w:pPr>
                    <w:spacing w:afterLines="100" w:line="500" w:lineRule="exact"/>
                    <w:ind w:firstLine="420" w:firstLineChars="200"/>
                    <w:rPr>
                      <w:rFonts w:ascii="宋体" w:hAnsi="宋体"/>
                      <w:szCs w:val="21"/>
                    </w:rPr>
                  </w:pPr>
                </w:p>
                <w:p>
                  <w:pPr>
                    <w:spacing w:afterLines="100" w:line="500" w:lineRule="exact"/>
                    <w:ind w:firstLine="420" w:firstLineChars="200"/>
                    <w:rPr>
                      <w:rFonts w:ascii="宋体" w:hAnsi="宋体"/>
                      <w:szCs w:val="21"/>
                    </w:rPr>
                  </w:pPr>
                </w:p>
                <w:p>
                  <w:pPr>
                    <w:spacing w:afterLines="100" w:line="500" w:lineRule="exact"/>
                    <w:ind w:firstLine="840" w:firstLineChars="400"/>
                    <w:rPr>
                      <w:rFonts w:ascii="宋体" w:hAnsi="宋体"/>
                      <w:szCs w:val="21"/>
                    </w:rPr>
                  </w:pPr>
                  <w:r>
                    <w:rPr>
                      <w:rFonts w:hint="eastAsia" w:ascii="宋体" w:hAnsi="宋体"/>
                      <w:szCs w:val="21"/>
                    </w:rPr>
                    <w:t>法定代表授权委托人身份证复印件粘贴处</w:t>
                  </w:r>
                </w:p>
              </w:txbxContent>
            </v:textbox>
            <w10:wrap type="square"/>
          </v:shape>
        </w:pict>
      </w:r>
      <w:r>
        <w:rPr>
          <w:rFonts w:ascii="宋体"/>
          <w:szCs w:val="21"/>
        </w:rPr>
        <w:br w:type="page"/>
      </w:r>
      <w:r>
        <w:rPr>
          <w:rFonts w:hint="eastAsia"/>
        </w:rPr>
        <w:t>三、已标价工程量清单</w:t>
      </w:r>
    </w:p>
    <w:p>
      <w:pPr>
        <w:spacing w:line="360" w:lineRule="exact"/>
        <w:ind w:firstLine="420" w:firstLineChars="200"/>
        <w:rPr>
          <w:rFonts w:ascii="宋体" w:hAnsi="宋体"/>
          <w:szCs w:val="21"/>
        </w:rPr>
      </w:pPr>
      <w:r>
        <w:rPr>
          <w:rFonts w:hint="eastAsia" w:ascii="宋体" w:hAnsi="宋体"/>
          <w:szCs w:val="21"/>
        </w:rPr>
        <w:t>说明：已标价工程量清单按第五章“工程量清单”中的相关清单表格式填写。构成合同文件的已标价工程量清单包括第五章“工程量清单”有关工程量清单、磋商报价以及其他说明的内容。</w:t>
      </w:r>
    </w:p>
    <w:p>
      <w:pPr>
        <w:pStyle w:val="16"/>
        <w:outlineLvl w:val="9"/>
      </w:pPr>
      <w:r>
        <w:rPr>
          <w:rFonts w:hint="eastAsia"/>
        </w:rPr>
        <w:t>四、施工组织设计</w:t>
      </w:r>
    </w:p>
    <w:p>
      <w:pPr>
        <w:spacing w:line="340" w:lineRule="exact"/>
        <w:ind w:firstLine="422" w:firstLineChars="200"/>
        <w:rPr>
          <w:rFonts w:ascii="宋体" w:hAnsi="宋体"/>
          <w:szCs w:val="21"/>
        </w:rPr>
      </w:pPr>
      <w:r>
        <w:rPr>
          <w:rFonts w:hint="eastAsia" w:ascii="宋体" w:hAnsi="宋体"/>
          <w:b/>
          <w:szCs w:val="21"/>
        </w:rPr>
        <w:t>1．</w:t>
      </w:r>
      <w:r>
        <w:rPr>
          <w:rFonts w:hint="eastAsia" w:ascii="宋体" w:hAnsi="宋体"/>
          <w:szCs w:val="21"/>
        </w:rPr>
        <w:t>供应商应根据磋商文件和对现场的勘察情况，采用文字并结合图表形式，参考以下要点编制本工程的施工组织设计：</w:t>
      </w:r>
    </w:p>
    <w:p>
      <w:pPr>
        <w:spacing w:line="340" w:lineRule="exact"/>
        <w:ind w:firstLine="422" w:firstLineChars="200"/>
        <w:rPr>
          <w:rFonts w:ascii="宋体" w:hAnsi="宋体"/>
          <w:szCs w:val="21"/>
        </w:rPr>
      </w:pPr>
      <w:r>
        <w:rPr>
          <w:rFonts w:hint="eastAsia" w:ascii="宋体" w:hAnsi="宋体"/>
          <w:b/>
          <w:szCs w:val="21"/>
        </w:rPr>
        <w:t>（1）</w:t>
      </w:r>
      <w:r>
        <w:rPr>
          <w:rFonts w:hint="eastAsia" w:ascii="宋体" w:hAnsi="宋体"/>
          <w:szCs w:val="21"/>
        </w:rPr>
        <w:t>施工方案及技术措施；</w:t>
      </w:r>
    </w:p>
    <w:p>
      <w:pPr>
        <w:spacing w:line="340" w:lineRule="exact"/>
        <w:ind w:firstLine="422" w:firstLineChars="200"/>
        <w:rPr>
          <w:rFonts w:ascii="宋体" w:hAnsi="宋体"/>
          <w:szCs w:val="21"/>
        </w:rPr>
      </w:pPr>
      <w:r>
        <w:rPr>
          <w:rFonts w:hint="eastAsia" w:ascii="宋体" w:hAnsi="宋体"/>
          <w:b/>
          <w:szCs w:val="21"/>
        </w:rPr>
        <w:t>（2）</w:t>
      </w:r>
      <w:r>
        <w:rPr>
          <w:rFonts w:hint="eastAsia" w:ascii="宋体" w:hAnsi="宋体"/>
          <w:szCs w:val="21"/>
        </w:rPr>
        <w:t>质量保证措施和创优计划；</w:t>
      </w:r>
    </w:p>
    <w:p>
      <w:pPr>
        <w:spacing w:line="340" w:lineRule="exact"/>
        <w:ind w:firstLine="422" w:firstLineChars="200"/>
        <w:rPr>
          <w:rFonts w:ascii="宋体" w:hAnsi="宋体"/>
          <w:szCs w:val="21"/>
        </w:rPr>
      </w:pPr>
      <w:r>
        <w:rPr>
          <w:rFonts w:hint="eastAsia" w:ascii="宋体" w:hAnsi="宋体"/>
          <w:b/>
          <w:szCs w:val="21"/>
        </w:rPr>
        <w:t>（3）</w:t>
      </w:r>
      <w:r>
        <w:rPr>
          <w:rFonts w:hint="eastAsia" w:ascii="宋体" w:hAnsi="宋体"/>
          <w:szCs w:val="21"/>
        </w:rPr>
        <w:t>施工总进度计划及保证措施（包括以横道图或标明关键线路的网络进度计划、保障进度计划需要的主要施工机械设备、劳动力需求计划及保证措施、材料设备进场计划及其他保证措施等）；</w:t>
      </w:r>
    </w:p>
    <w:p>
      <w:pPr>
        <w:spacing w:line="340" w:lineRule="exact"/>
        <w:ind w:firstLine="422" w:firstLineChars="200"/>
        <w:rPr>
          <w:rFonts w:ascii="宋体" w:hAnsi="宋体"/>
          <w:szCs w:val="21"/>
        </w:rPr>
      </w:pPr>
      <w:r>
        <w:rPr>
          <w:rFonts w:hint="eastAsia" w:ascii="宋体" w:hAnsi="宋体"/>
          <w:b/>
          <w:szCs w:val="21"/>
        </w:rPr>
        <w:t>（4）</w:t>
      </w:r>
      <w:r>
        <w:rPr>
          <w:rFonts w:hint="eastAsia" w:ascii="宋体" w:hAnsi="宋体"/>
          <w:szCs w:val="21"/>
        </w:rPr>
        <w:t>施工安全措施计划；</w:t>
      </w:r>
    </w:p>
    <w:p>
      <w:pPr>
        <w:spacing w:line="340" w:lineRule="exact"/>
        <w:ind w:firstLine="422" w:firstLineChars="200"/>
        <w:rPr>
          <w:rFonts w:ascii="宋体" w:hAnsi="宋体"/>
          <w:szCs w:val="21"/>
        </w:rPr>
      </w:pPr>
      <w:r>
        <w:rPr>
          <w:rFonts w:hint="eastAsia" w:ascii="宋体" w:hAnsi="宋体"/>
          <w:b/>
          <w:szCs w:val="21"/>
        </w:rPr>
        <w:t>（5）</w:t>
      </w:r>
      <w:r>
        <w:rPr>
          <w:rFonts w:hint="eastAsia" w:ascii="宋体" w:hAnsi="宋体"/>
          <w:szCs w:val="21"/>
        </w:rPr>
        <w:t>文明施工措施计划；</w:t>
      </w:r>
    </w:p>
    <w:p>
      <w:pPr>
        <w:spacing w:line="340" w:lineRule="exact"/>
        <w:ind w:firstLine="422" w:firstLineChars="200"/>
        <w:rPr>
          <w:rFonts w:ascii="宋体" w:hAnsi="宋体"/>
          <w:szCs w:val="21"/>
        </w:rPr>
      </w:pPr>
      <w:r>
        <w:rPr>
          <w:rFonts w:hint="eastAsia" w:ascii="宋体" w:hAnsi="宋体"/>
          <w:b/>
          <w:szCs w:val="21"/>
        </w:rPr>
        <w:t>（6）</w:t>
      </w:r>
      <w:r>
        <w:rPr>
          <w:rFonts w:hint="eastAsia" w:ascii="宋体" w:hAnsi="宋体"/>
          <w:szCs w:val="21"/>
        </w:rPr>
        <w:t>施工场地治安保卫管理计划；</w:t>
      </w:r>
    </w:p>
    <w:p>
      <w:pPr>
        <w:spacing w:line="340" w:lineRule="exact"/>
        <w:ind w:firstLine="422" w:firstLineChars="200"/>
        <w:rPr>
          <w:rFonts w:ascii="宋体" w:hAnsi="宋体"/>
          <w:szCs w:val="21"/>
        </w:rPr>
      </w:pPr>
      <w:r>
        <w:rPr>
          <w:rFonts w:hint="eastAsia" w:ascii="宋体" w:hAnsi="宋体"/>
          <w:b/>
          <w:szCs w:val="21"/>
        </w:rPr>
        <w:t>（7）</w:t>
      </w:r>
      <w:r>
        <w:rPr>
          <w:rFonts w:hint="eastAsia" w:ascii="宋体" w:hAnsi="宋体"/>
          <w:szCs w:val="21"/>
        </w:rPr>
        <w:t>施工环保措施计划；</w:t>
      </w:r>
    </w:p>
    <w:p>
      <w:pPr>
        <w:spacing w:line="340" w:lineRule="exact"/>
        <w:ind w:firstLine="422" w:firstLineChars="200"/>
        <w:rPr>
          <w:rFonts w:ascii="宋体" w:hAnsi="宋体"/>
          <w:szCs w:val="21"/>
        </w:rPr>
      </w:pPr>
      <w:r>
        <w:rPr>
          <w:rFonts w:hint="eastAsia" w:ascii="宋体" w:hAnsi="宋体"/>
          <w:b/>
          <w:szCs w:val="21"/>
        </w:rPr>
        <w:t>（8）</w:t>
      </w:r>
      <w:r>
        <w:rPr>
          <w:rFonts w:hint="eastAsia" w:ascii="宋体" w:hAnsi="宋体"/>
          <w:szCs w:val="21"/>
        </w:rPr>
        <w:t>冬季和雨季施工方案；</w:t>
      </w:r>
    </w:p>
    <w:p>
      <w:pPr>
        <w:spacing w:line="340" w:lineRule="exact"/>
        <w:ind w:firstLine="422" w:firstLineChars="200"/>
        <w:rPr>
          <w:rFonts w:ascii="宋体" w:hAnsi="宋体"/>
          <w:szCs w:val="21"/>
        </w:rPr>
      </w:pPr>
      <w:r>
        <w:rPr>
          <w:rFonts w:hint="eastAsia" w:ascii="宋体" w:hAnsi="宋体"/>
          <w:b/>
          <w:szCs w:val="21"/>
        </w:rPr>
        <w:t>（9）</w:t>
      </w:r>
      <w:r>
        <w:rPr>
          <w:rFonts w:hint="eastAsia" w:ascii="宋体" w:hAnsi="宋体"/>
          <w:szCs w:val="21"/>
        </w:rPr>
        <w:t>施工现场总平面布置（供应商应递交一份施工总平面图，绘出现场临时设施布置图表并附文字说明，说明临时设施、加工车间、现场办公、设备及仓储、供电、供水、卫生、生活、道路、消防等设施的情况和布置）；</w:t>
      </w:r>
    </w:p>
    <w:p>
      <w:pPr>
        <w:spacing w:line="340" w:lineRule="exact"/>
        <w:ind w:firstLine="422" w:firstLineChars="200"/>
        <w:rPr>
          <w:rFonts w:ascii="宋体" w:hAnsi="宋体"/>
          <w:szCs w:val="21"/>
        </w:rPr>
      </w:pPr>
      <w:r>
        <w:rPr>
          <w:rFonts w:hint="eastAsia" w:ascii="宋体" w:hAnsi="宋体"/>
          <w:b/>
          <w:szCs w:val="21"/>
        </w:rPr>
        <w:t>（10）</w:t>
      </w:r>
      <w:r>
        <w:rPr>
          <w:rFonts w:hint="eastAsia" w:ascii="宋体" w:hAnsi="宋体"/>
          <w:szCs w:val="21"/>
        </w:rPr>
        <w:t>项目组织管理机构（若施工组织设计采用“暗标”方式评审，则在任何情况下， “项目管理机构”不得涉及人员姓名、简历、公司名称等暴露供应商身份的内容）；</w:t>
      </w:r>
    </w:p>
    <w:p>
      <w:pPr>
        <w:spacing w:line="340" w:lineRule="exact"/>
        <w:ind w:firstLine="422" w:firstLineChars="200"/>
        <w:rPr>
          <w:rFonts w:ascii="宋体" w:hAnsi="宋体"/>
          <w:szCs w:val="21"/>
        </w:rPr>
      </w:pPr>
      <w:r>
        <w:rPr>
          <w:rFonts w:hint="eastAsia" w:ascii="宋体" w:hAnsi="宋体"/>
          <w:b/>
          <w:szCs w:val="21"/>
        </w:rPr>
        <w:t>（11）</w:t>
      </w:r>
      <w:r>
        <w:rPr>
          <w:rFonts w:hint="eastAsia" w:ascii="宋体" w:hAnsi="宋体"/>
          <w:szCs w:val="21"/>
        </w:rPr>
        <w:t>承包人自行施工范围内拟分包的非主体和非关键性工作（按第二章“供应商须知”第1.11款的规定）；</w:t>
      </w:r>
    </w:p>
    <w:p>
      <w:pPr>
        <w:spacing w:line="340" w:lineRule="exact"/>
        <w:ind w:firstLine="422" w:firstLineChars="200"/>
        <w:rPr>
          <w:rFonts w:ascii="宋体" w:hAnsi="宋体"/>
          <w:szCs w:val="21"/>
        </w:rPr>
      </w:pPr>
      <w:r>
        <w:rPr>
          <w:rFonts w:hint="eastAsia" w:ascii="宋体" w:hAnsi="宋体"/>
          <w:b/>
          <w:szCs w:val="21"/>
        </w:rPr>
        <w:t>（12）</w:t>
      </w:r>
      <w:r>
        <w:rPr>
          <w:rFonts w:hint="eastAsia" w:ascii="宋体" w:hAnsi="宋体"/>
          <w:szCs w:val="21"/>
        </w:rPr>
        <w:t>成品保护和工程保修工作的管理措施和承诺；</w:t>
      </w:r>
    </w:p>
    <w:p>
      <w:pPr>
        <w:spacing w:line="340" w:lineRule="exact"/>
        <w:ind w:firstLine="422" w:firstLineChars="200"/>
        <w:rPr>
          <w:rFonts w:ascii="宋体" w:hAnsi="宋体"/>
          <w:szCs w:val="21"/>
        </w:rPr>
      </w:pPr>
      <w:r>
        <w:rPr>
          <w:rFonts w:hint="eastAsia" w:ascii="宋体" w:hAnsi="宋体"/>
          <w:b/>
          <w:szCs w:val="21"/>
        </w:rPr>
        <w:t>（13）</w:t>
      </w:r>
      <w:r>
        <w:rPr>
          <w:rFonts w:hint="eastAsia" w:ascii="宋体" w:hAnsi="宋体"/>
          <w:szCs w:val="21"/>
        </w:rPr>
        <w:t>任何可能的紧急情况的处理措施、预案以及抵抗风险（包括工程施工过程中可能遇到的各种风险）的措施；</w:t>
      </w:r>
    </w:p>
    <w:p>
      <w:pPr>
        <w:spacing w:line="340" w:lineRule="exact"/>
        <w:ind w:firstLine="422" w:firstLineChars="200"/>
        <w:rPr>
          <w:rFonts w:ascii="宋体" w:hAnsi="宋体"/>
          <w:szCs w:val="21"/>
        </w:rPr>
      </w:pPr>
      <w:r>
        <w:rPr>
          <w:rFonts w:hint="eastAsia" w:ascii="宋体" w:hAnsi="宋体"/>
          <w:b/>
          <w:szCs w:val="21"/>
        </w:rPr>
        <w:t>（14）</w:t>
      </w:r>
      <w:r>
        <w:rPr>
          <w:rFonts w:hint="eastAsia" w:ascii="宋体" w:hAnsi="宋体"/>
          <w:szCs w:val="21"/>
        </w:rPr>
        <w:t>对总包管理的认识以及对专业分包工程的配合、协调、管理、服务方案；</w:t>
      </w:r>
    </w:p>
    <w:p>
      <w:pPr>
        <w:spacing w:line="340" w:lineRule="exact"/>
        <w:ind w:firstLine="422" w:firstLineChars="200"/>
        <w:rPr>
          <w:rFonts w:ascii="宋体" w:hAnsi="宋体"/>
          <w:szCs w:val="21"/>
        </w:rPr>
      </w:pPr>
      <w:r>
        <w:rPr>
          <w:rFonts w:hint="eastAsia" w:ascii="宋体" w:hAnsi="宋体"/>
          <w:b/>
          <w:szCs w:val="21"/>
        </w:rPr>
        <w:t>（15）</w:t>
      </w:r>
      <w:r>
        <w:rPr>
          <w:rFonts w:hint="eastAsia" w:ascii="宋体" w:hAnsi="宋体"/>
          <w:szCs w:val="21"/>
        </w:rPr>
        <w:t>与发包人、监理及设计人的配合；</w:t>
      </w:r>
    </w:p>
    <w:p>
      <w:pPr>
        <w:spacing w:line="340" w:lineRule="exact"/>
        <w:ind w:firstLine="422" w:firstLineChars="200"/>
        <w:rPr>
          <w:rFonts w:ascii="宋体" w:hAnsi="宋体"/>
          <w:szCs w:val="21"/>
        </w:rPr>
      </w:pPr>
      <w:r>
        <w:rPr>
          <w:rFonts w:hint="eastAsia" w:ascii="宋体" w:hAnsi="宋体"/>
          <w:b/>
          <w:szCs w:val="21"/>
        </w:rPr>
        <w:t>（16）</w:t>
      </w:r>
      <w:r>
        <w:rPr>
          <w:rFonts w:hint="eastAsia" w:ascii="宋体" w:hAnsi="宋体"/>
          <w:szCs w:val="21"/>
        </w:rPr>
        <w:t>磋商文件规定的其他内容。</w:t>
      </w:r>
    </w:p>
    <w:p>
      <w:pPr>
        <w:spacing w:line="340" w:lineRule="exact"/>
        <w:ind w:firstLine="422" w:firstLineChars="200"/>
        <w:rPr>
          <w:rFonts w:ascii="宋体" w:hAnsi="宋体"/>
          <w:szCs w:val="21"/>
        </w:rPr>
      </w:pPr>
      <w:r>
        <w:rPr>
          <w:rFonts w:hint="eastAsia" w:ascii="宋体" w:hAnsi="宋体"/>
          <w:b/>
          <w:szCs w:val="21"/>
        </w:rPr>
        <w:t>2．</w:t>
      </w:r>
      <w:r>
        <w:rPr>
          <w:rFonts w:hint="eastAsia" w:ascii="宋体" w:hAnsi="宋体"/>
          <w:szCs w:val="21"/>
        </w:rPr>
        <w:t>若供应商须知规定施工组织设计采用技术“暗标”方式评审，则施工组织设计的编制和装订应按附表七“施工组织设计（技术暗标部分）编制及装订要求”编制和装订施工组织设计。</w:t>
      </w:r>
    </w:p>
    <w:p>
      <w:pPr>
        <w:spacing w:line="340" w:lineRule="exact"/>
        <w:ind w:firstLine="422" w:firstLineChars="200"/>
        <w:rPr>
          <w:rFonts w:ascii="宋体" w:hAnsi="宋体"/>
          <w:szCs w:val="21"/>
        </w:rPr>
      </w:pPr>
      <w:r>
        <w:rPr>
          <w:rFonts w:hint="eastAsia" w:ascii="宋体" w:hAnsi="宋体"/>
          <w:b/>
          <w:szCs w:val="21"/>
        </w:rPr>
        <w:t>3．</w:t>
      </w:r>
      <w:r>
        <w:rPr>
          <w:rFonts w:hint="eastAsia" w:ascii="宋体" w:hAnsi="宋体"/>
          <w:szCs w:val="21"/>
        </w:rPr>
        <w:t>施工组织设计除采用文字表述外可附下列图表，图表及格式要求附后。若采用技术暗标评审，则下述表格应按照章节内容，严格按给定的格式附在相应的章节中。</w:t>
      </w:r>
    </w:p>
    <w:p>
      <w:pPr>
        <w:spacing w:line="340" w:lineRule="exact"/>
        <w:ind w:firstLine="420" w:firstLineChars="200"/>
        <w:rPr>
          <w:rFonts w:ascii="宋体" w:hAnsi="宋体"/>
          <w:szCs w:val="21"/>
        </w:rPr>
      </w:pPr>
      <w:r>
        <w:rPr>
          <w:rFonts w:hint="eastAsia" w:ascii="宋体" w:hAnsi="宋体"/>
          <w:szCs w:val="21"/>
        </w:rPr>
        <w:t>附表一  拟投入本工程的主要施工设备表</w:t>
      </w:r>
    </w:p>
    <w:p>
      <w:pPr>
        <w:spacing w:line="340" w:lineRule="exact"/>
        <w:ind w:firstLine="420" w:firstLineChars="200"/>
        <w:rPr>
          <w:rFonts w:ascii="宋体" w:hAnsi="宋体"/>
          <w:szCs w:val="21"/>
        </w:rPr>
      </w:pPr>
      <w:r>
        <w:rPr>
          <w:rFonts w:hint="eastAsia" w:ascii="宋体" w:hAnsi="宋体"/>
          <w:szCs w:val="21"/>
        </w:rPr>
        <w:t>附表二  拟配备本工程的试验和检测仪器设备表</w:t>
      </w:r>
    </w:p>
    <w:p>
      <w:pPr>
        <w:spacing w:line="340" w:lineRule="exact"/>
        <w:ind w:firstLine="420" w:firstLineChars="200"/>
        <w:rPr>
          <w:rFonts w:ascii="宋体" w:hAnsi="宋体"/>
          <w:szCs w:val="21"/>
        </w:rPr>
      </w:pPr>
      <w:r>
        <w:rPr>
          <w:rFonts w:hint="eastAsia" w:ascii="宋体" w:hAnsi="宋体"/>
          <w:szCs w:val="21"/>
        </w:rPr>
        <w:t>附表三  劳动力计划表</w:t>
      </w:r>
    </w:p>
    <w:p>
      <w:pPr>
        <w:spacing w:line="340" w:lineRule="exact"/>
        <w:ind w:firstLine="420" w:firstLineChars="200"/>
        <w:rPr>
          <w:rFonts w:ascii="宋体" w:hAnsi="宋体"/>
          <w:szCs w:val="21"/>
        </w:rPr>
      </w:pPr>
      <w:r>
        <w:rPr>
          <w:rFonts w:hint="eastAsia" w:ascii="宋体" w:hAnsi="宋体"/>
          <w:szCs w:val="21"/>
        </w:rPr>
        <w:t>附表四  计划开、竣工日期和施工进度网络图</w:t>
      </w:r>
    </w:p>
    <w:p>
      <w:pPr>
        <w:spacing w:line="340" w:lineRule="exact"/>
        <w:ind w:firstLine="420" w:firstLineChars="200"/>
        <w:rPr>
          <w:rFonts w:ascii="宋体" w:hAnsi="宋体"/>
          <w:szCs w:val="21"/>
        </w:rPr>
      </w:pPr>
      <w:r>
        <w:rPr>
          <w:rFonts w:hint="eastAsia" w:ascii="宋体" w:hAnsi="宋体"/>
          <w:szCs w:val="21"/>
        </w:rPr>
        <w:t>附表五  施工总平面图</w:t>
      </w:r>
    </w:p>
    <w:p>
      <w:pPr>
        <w:spacing w:line="340" w:lineRule="exact"/>
        <w:ind w:firstLine="420" w:firstLineChars="200"/>
        <w:rPr>
          <w:rFonts w:ascii="宋体" w:hAnsi="宋体"/>
          <w:szCs w:val="21"/>
        </w:rPr>
      </w:pPr>
      <w:r>
        <w:rPr>
          <w:rFonts w:hint="eastAsia" w:ascii="宋体" w:hAnsi="宋体"/>
          <w:szCs w:val="21"/>
        </w:rPr>
        <w:t>附表六  临时用地表</w:t>
      </w:r>
    </w:p>
    <w:p>
      <w:pPr>
        <w:spacing w:line="340" w:lineRule="exact"/>
        <w:ind w:firstLine="420" w:firstLineChars="200"/>
        <w:rPr>
          <w:rFonts w:ascii="宋体" w:hAnsi="宋体"/>
          <w:szCs w:val="21"/>
        </w:rPr>
      </w:pPr>
      <w:r>
        <w:rPr>
          <w:rFonts w:hint="eastAsia" w:ascii="宋体" w:hAnsi="宋体"/>
          <w:szCs w:val="21"/>
        </w:rPr>
        <w:t>附表七  施工组织设计(技术暗标部分)编制及装订要求</w:t>
      </w:r>
    </w:p>
    <w:p>
      <w:pPr>
        <w:spacing w:line="360" w:lineRule="exact"/>
        <w:ind w:firstLine="420" w:firstLineChars="200"/>
        <w:rPr>
          <w:rFonts w:ascii="宋体" w:hAnsi="宋体"/>
          <w:szCs w:val="21"/>
        </w:rPr>
      </w:pPr>
      <w:r>
        <w:rPr>
          <w:rFonts w:ascii="宋体" w:hAnsi="宋体"/>
          <w:szCs w:val="21"/>
        </w:rPr>
        <w:br w:type="page"/>
      </w:r>
    </w:p>
    <w:p>
      <w:pPr>
        <w:spacing w:line="240" w:lineRule="atLeast"/>
        <w:rPr>
          <w:rStyle w:val="23"/>
          <w:rFonts w:ascii="黑体" w:hAnsi="宋体" w:eastAsia="黑体"/>
          <w:sz w:val="10"/>
          <w:szCs w:val="10"/>
        </w:rPr>
      </w:pPr>
      <w:r>
        <w:rPr>
          <w:rStyle w:val="23"/>
          <w:rFonts w:hint="eastAsia" w:ascii="宋体" w:hAnsi="宋体"/>
          <w:b/>
          <w:szCs w:val="21"/>
        </w:rPr>
        <w:t>附表一：拟投入本工程的主要施工设备表</w:t>
      </w:r>
    </w:p>
    <w:p/>
    <w:tbl>
      <w:tblPr>
        <w:tblStyle w:val="20"/>
        <w:tblW w:w="84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58"/>
        <w:gridCol w:w="668"/>
        <w:gridCol w:w="1017"/>
        <w:gridCol w:w="705"/>
        <w:gridCol w:w="705"/>
        <w:gridCol w:w="1170"/>
        <w:gridCol w:w="867"/>
        <w:gridCol w:w="86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41" w:type="dxa"/>
            <w:vAlign w:val="center"/>
          </w:tcPr>
          <w:p>
            <w:pPr>
              <w:jc w:val="center"/>
              <w:rPr>
                <w:rFonts w:ascii="宋体" w:hAnsi="宋体"/>
                <w:szCs w:val="21"/>
              </w:rPr>
            </w:pPr>
            <w:r>
              <w:rPr>
                <w:rFonts w:hint="eastAsia" w:ascii="宋体" w:hAnsi="宋体"/>
                <w:szCs w:val="21"/>
              </w:rPr>
              <w:t>序号</w:t>
            </w:r>
          </w:p>
        </w:tc>
        <w:tc>
          <w:tcPr>
            <w:tcW w:w="1058" w:type="dxa"/>
            <w:vAlign w:val="center"/>
          </w:tcPr>
          <w:p>
            <w:pPr>
              <w:jc w:val="center"/>
              <w:rPr>
                <w:rFonts w:ascii="宋体" w:hAnsi="宋体"/>
                <w:szCs w:val="21"/>
              </w:rPr>
            </w:pPr>
            <w:r>
              <w:rPr>
                <w:rFonts w:hint="eastAsia" w:ascii="宋体" w:hAnsi="宋体"/>
                <w:szCs w:val="21"/>
              </w:rPr>
              <w:t>设备名称</w:t>
            </w:r>
          </w:p>
        </w:tc>
        <w:tc>
          <w:tcPr>
            <w:tcW w:w="668" w:type="dxa"/>
            <w:vAlign w:val="center"/>
          </w:tcPr>
          <w:p>
            <w:pPr>
              <w:jc w:val="center"/>
              <w:rPr>
                <w:rFonts w:ascii="宋体" w:hAnsi="宋体"/>
                <w:szCs w:val="21"/>
              </w:rPr>
            </w:pPr>
            <w:r>
              <w:rPr>
                <w:rFonts w:hint="eastAsia" w:ascii="宋体" w:hAnsi="宋体"/>
                <w:szCs w:val="21"/>
              </w:rPr>
              <w:t>型号</w:t>
            </w:r>
          </w:p>
          <w:p>
            <w:pPr>
              <w:jc w:val="center"/>
              <w:rPr>
                <w:rFonts w:ascii="宋体" w:hAnsi="宋体"/>
                <w:szCs w:val="21"/>
              </w:rPr>
            </w:pPr>
            <w:r>
              <w:rPr>
                <w:rFonts w:hint="eastAsia" w:ascii="宋体" w:hAnsi="宋体"/>
                <w:szCs w:val="21"/>
              </w:rPr>
              <w:t>规格</w:t>
            </w:r>
          </w:p>
        </w:tc>
        <w:tc>
          <w:tcPr>
            <w:tcW w:w="1017" w:type="dxa"/>
            <w:vAlign w:val="center"/>
          </w:tcPr>
          <w:p>
            <w:pPr>
              <w:jc w:val="center"/>
              <w:rPr>
                <w:rFonts w:ascii="宋体" w:hAnsi="宋体"/>
                <w:szCs w:val="21"/>
              </w:rPr>
            </w:pPr>
            <w:r>
              <w:rPr>
                <w:rFonts w:hint="eastAsia" w:ascii="宋体" w:hAnsi="宋体"/>
                <w:szCs w:val="21"/>
              </w:rPr>
              <w:t>数  量</w:t>
            </w:r>
          </w:p>
        </w:tc>
        <w:tc>
          <w:tcPr>
            <w:tcW w:w="705" w:type="dxa"/>
            <w:vAlign w:val="center"/>
          </w:tcPr>
          <w:p>
            <w:pPr>
              <w:jc w:val="center"/>
              <w:rPr>
                <w:rFonts w:ascii="宋体" w:hAnsi="宋体"/>
                <w:szCs w:val="21"/>
              </w:rPr>
            </w:pPr>
            <w:r>
              <w:rPr>
                <w:rFonts w:hint="eastAsia" w:ascii="宋体" w:hAnsi="宋体"/>
                <w:szCs w:val="21"/>
              </w:rPr>
              <w:t>国别</w:t>
            </w:r>
          </w:p>
          <w:p>
            <w:pPr>
              <w:jc w:val="center"/>
              <w:rPr>
                <w:rFonts w:ascii="宋体" w:hAnsi="宋体"/>
                <w:szCs w:val="21"/>
              </w:rPr>
            </w:pPr>
            <w:r>
              <w:rPr>
                <w:rFonts w:hint="eastAsia" w:ascii="宋体" w:hAnsi="宋体"/>
                <w:szCs w:val="21"/>
              </w:rPr>
              <w:t>产地</w:t>
            </w:r>
          </w:p>
        </w:tc>
        <w:tc>
          <w:tcPr>
            <w:tcW w:w="705" w:type="dxa"/>
            <w:vAlign w:val="center"/>
          </w:tcPr>
          <w:p>
            <w:pPr>
              <w:jc w:val="center"/>
              <w:rPr>
                <w:rFonts w:ascii="宋体" w:hAnsi="宋体"/>
                <w:szCs w:val="21"/>
              </w:rPr>
            </w:pPr>
            <w:r>
              <w:rPr>
                <w:rFonts w:hint="eastAsia" w:ascii="宋体" w:hAnsi="宋体"/>
                <w:szCs w:val="21"/>
              </w:rPr>
              <w:t>制造</w:t>
            </w:r>
          </w:p>
          <w:p>
            <w:pPr>
              <w:jc w:val="center"/>
              <w:rPr>
                <w:rFonts w:ascii="宋体" w:hAnsi="宋体"/>
                <w:szCs w:val="21"/>
              </w:rPr>
            </w:pPr>
            <w:r>
              <w:rPr>
                <w:rFonts w:hint="eastAsia" w:ascii="宋体" w:hAnsi="宋体"/>
                <w:szCs w:val="21"/>
              </w:rPr>
              <w:t>年份</w:t>
            </w:r>
          </w:p>
        </w:tc>
        <w:tc>
          <w:tcPr>
            <w:tcW w:w="1170" w:type="dxa"/>
            <w:vAlign w:val="center"/>
          </w:tcPr>
          <w:p>
            <w:pPr>
              <w:jc w:val="center"/>
              <w:rPr>
                <w:rFonts w:ascii="宋体" w:hAnsi="宋体"/>
                <w:szCs w:val="21"/>
              </w:rPr>
            </w:pPr>
            <w:r>
              <w:rPr>
                <w:rFonts w:hint="eastAsia" w:ascii="宋体" w:hAnsi="宋体"/>
                <w:szCs w:val="21"/>
              </w:rPr>
              <w:t>额定功率</w:t>
            </w:r>
          </w:p>
          <w:p>
            <w:pPr>
              <w:jc w:val="center"/>
              <w:rPr>
                <w:rFonts w:ascii="宋体" w:hAnsi="宋体"/>
                <w:szCs w:val="21"/>
              </w:rPr>
            </w:pPr>
            <w:r>
              <w:rPr>
                <w:rFonts w:hint="eastAsia" w:ascii="宋体" w:hAnsi="宋体"/>
                <w:szCs w:val="21"/>
              </w:rPr>
              <w:t>（KW）</w:t>
            </w:r>
          </w:p>
        </w:tc>
        <w:tc>
          <w:tcPr>
            <w:tcW w:w="867" w:type="dxa"/>
            <w:vAlign w:val="center"/>
          </w:tcPr>
          <w:p>
            <w:pPr>
              <w:jc w:val="center"/>
              <w:rPr>
                <w:rFonts w:ascii="宋体" w:hAnsi="宋体"/>
                <w:szCs w:val="21"/>
              </w:rPr>
            </w:pPr>
            <w:r>
              <w:rPr>
                <w:rFonts w:hint="eastAsia" w:ascii="宋体" w:hAnsi="宋体"/>
                <w:szCs w:val="21"/>
              </w:rPr>
              <w:t>生产</w:t>
            </w:r>
          </w:p>
          <w:p>
            <w:pPr>
              <w:jc w:val="center"/>
              <w:rPr>
                <w:rFonts w:ascii="宋体" w:hAnsi="宋体"/>
                <w:szCs w:val="21"/>
              </w:rPr>
            </w:pPr>
            <w:r>
              <w:rPr>
                <w:rFonts w:hint="eastAsia" w:ascii="宋体" w:hAnsi="宋体"/>
                <w:szCs w:val="21"/>
              </w:rPr>
              <w:t>能力</w:t>
            </w:r>
          </w:p>
        </w:tc>
        <w:tc>
          <w:tcPr>
            <w:tcW w:w="867" w:type="dxa"/>
            <w:vAlign w:val="center"/>
          </w:tcPr>
          <w:p>
            <w:pPr>
              <w:jc w:val="center"/>
              <w:rPr>
                <w:rFonts w:ascii="宋体" w:hAnsi="宋体"/>
                <w:szCs w:val="21"/>
              </w:rPr>
            </w:pPr>
            <w:r>
              <w:rPr>
                <w:rFonts w:hint="eastAsia" w:ascii="宋体" w:hAnsi="宋体"/>
                <w:szCs w:val="21"/>
              </w:rPr>
              <w:t>用于施</w:t>
            </w:r>
          </w:p>
          <w:p>
            <w:pPr>
              <w:jc w:val="center"/>
              <w:rPr>
                <w:rFonts w:ascii="宋体" w:hAnsi="宋体"/>
                <w:szCs w:val="21"/>
              </w:rPr>
            </w:pPr>
            <w:r>
              <w:rPr>
                <w:rFonts w:hint="eastAsia" w:ascii="宋体" w:hAnsi="宋体"/>
                <w:szCs w:val="21"/>
              </w:rPr>
              <w:t>工部位</w:t>
            </w:r>
          </w:p>
        </w:tc>
        <w:tc>
          <w:tcPr>
            <w:tcW w:w="761"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1" w:type="dxa"/>
            <w:vAlign w:val="center"/>
          </w:tcPr>
          <w:p>
            <w:pPr>
              <w:jc w:val="center"/>
              <w:rPr>
                <w:rFonts w:ascii="宋体" w:hAnsi="宋体"/>
                <w:szCs w:val="21"/>
              </w:rPr>
            </w:pPr>
          </w:p>
        </w:tc>
        <w:tc>
          <w:tcPr>
            <w:tcW w:w="1058" w:type="dxa"/>
            <w:vAlign w:val="center"/>
          </w:tcPr>
          <w:p>
            <w:pPr>
              <w:jc w:val="center"/>
              <w:rPr>
                <w:rFonts w:ascii="宋体" w:hAnsi="宋体"/>
                <w:szCs w:val="21"/>
              </w:rPr>
            </w:pPr>
          </w:p>
        </w:tc>
        <w:tc>
          <w:tcPr>
            <w:tcW w:w="668" w:type="dxa"/>
            <w:vAlign w:val="center"/>
          </w:tcPr>
          <w:p>
            <w:pPr>
              <w:jc w:val="center"/>
              <w:rPr>
                <w:rFonts w:ascii="宋体" w:hAnsi="宋体"/>
                <w:szCs w:val="21"/>
              </w:rPr>
            </w:pPr>
          </w:p>
        </w:tc>
        <w:tc>
          <w:tcPr>
            <w:tcW w:w="1017"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705" w:type="dxa"/>
            <w:vAlign w:val="center"/>
          </w:tcPr>
          <w:p>
            <w:pPr>
              <w:jc w:val="center"/>
              <w:rPr>
                <w:rFonts w:ascii="宋体" w:hAnsi="宋体"/>
                <w:szCs w:val="21"/>
              </w:rPr>
            </w:pPr>
          </w:p>
        </w:tc>
        <w:tc>
          <w:tcPr>
            <w:tcW w:w="1170"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867" w:type="dxa"/>
            <w:vAlign w:val="center"/>
          </w:tcPr>
          <w:p>
            <w:pPr>
              <w:jc w:val="center"/>
              <w:rPr>
                <w:rFonts w:ascii="宋体" w:hAnsi="宋体"/>
                <w:szCs w:val="21"/>
              </w:rPr>
            </w:pPr>
          </w:p>
        </w:tc>
        <w:tc>
          <w:tcPr>
            <w:tcW w:w="761" w:type="dxa"/>
            <w:vAlign w:val="center"/>
          </w:tcPr>
          <w:p>
            <w:pPr>
              <w:jc w:val="center"/>
              <w:rPr>
                <w:rFonts w:ascii="宋体" w:hAnsi="宋体"/>
                <w:szCs w:val="21"/>
              </w:rPr>
            </w:pPr>
          </w:p>
        </w:tc>
      </w:tr>
    </w:tbl>
    <w:p>
      <w:pPr>
        <w:spacing w:line="420" w:lineRule="exact"/>
        <w:rPr>
          <w:rFonts w:ascii="宋体" w:hAnsi="宋体"/>
          <w:szCs w:val="21"/>
        </w:rPr>
      </w:pPr>
    </w:p>
    <w:p>
      <w:pPr>
        <w:spacing w:line="420" w:lineRule="exact"/>
        <w:rPr>
          <w:rFonts w:ascii="宋体" w:hAnsi="宋体"/>
          <w:szCs w:val="21"/>
        </w:rPr>
      </w:pPr>
      <w:r>
        <w:rPr>
          <w:rFonts w:ascii="宋体" w:hAnsi="宋体"/>
          <w:szCs w:val="21"/>
        </w:rPr>
        <w:br w:type="page"/>
      </w:r>
    </w:p>
    <w:p>
      <w:pPr>
        <w:spacing w:line="240" w:lineRule="atLeast"/>
        <w:rPr>
          <w:rStyle w:val="23"/>
          <w:rFonts w:ascii="宋体" w:hAnsi="宋体"/>
          <w:b/>
          <w:szCs w:val="21"/>
        </w:rPr>
      </w:pPr>
      <w:r>
        <w:rPr>
          <w:rStyle w:val="23"/>
          <w:rFonts w:hint="eastAsia" w:ascii="宋体" w:hAnsi="宋体"/>
          <w:b/>
          <w:szCs w:val="21"/>
        </w:rPr>
        <w:t>附表二：拟配备本工程的试验和检测仪器设备表</w:t>
      </w:r>
    </w:p>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16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4" w:type="dxa"/>
            <w:vAlign w:val="center"/>
          </w:tcPr>
          <w:p>
            <w:pPr>
              <w:jc w:val="center"/>
              <w:rPr>
                <w:rFonts w:ascii="宋体" w:hAnsi="宋体"/>
                <w:szCs w:val="21"/>
              </w:rPr>
            </w:pPr>
            <w:r>
              <w:rPr>
                <w:rFonts w:hint="eastAsia" w:ascii="宋体" w:hAnsi="宋体"/>
                <w:szCs w:val="21"/>
              </w:rPr>
              <w:t>序号</w:t>
            </w:r>
          </w:p>
        </w:tc>
        <w:tc>
          <w:tcPr>
            <w:tcW w:w="1064" w:type="dxa"/>
            <w:vAlign w:val="center"/>
          </w:tcPr>
          <w:p>
            <w:pPr>
              <w:jc w:val="center"/>
              <w:rPr>
                <w:rFonts w:ascii="宋体" w:hAnsi="宋体"/>
                <w:szCs w:val="21"/>
              </w:rPr>
            </w:pPr>
            <w:r>
              <w:rPr>
                <w:rFonts w:hint="eastAsia" w:ascii="宋体" w:hAnsi="宋体"/>
                <w:szCs w:val="21"/>
              </w:rPr>
              <w:t>仪器设备</w:t>
            </w:r>
          </w:p>
          <w:p>
            <w:pPr>
              <w:jc w:val="center"/>
              <w:rPr>
                <w:rFonts w:ascii="宋体" w:hAnsi="宋体"/>
                <w:szCs w:val="21"/>
              </w:rPr>
            </w:pPr>
            <w:r>
              <w:rPr>
                <w:rFonts w:hint="eastAsia" w:ascii="宋体" w:hAnsi="宋体"/>
                <w:szCs w:val="21"/>
              </w:rPr>
              <w:t>名    称</w:t>
            </w:r>
          </w:p>
        </w:tc>
        <w:tc>
          <w:tcPr>
            <w:tcW w:w="672" w:type="dxa"/>
            <w:vAlign w:val="center"/>
          </w:tcPr>
          <w:p>
            <w:pPr>
              <w:jc w:val="center"/>
              <w:rPr>
                <w:rFonts w:ascii="宋体" w:hAnsi="宋体"/>
                <w:szCs w:val="21"/>
              </w:rPr>
            </w:pPr>
            <w:r>
              <w:rPr>
                <w:rFonts w:hint="eastAsia" w:ascii="宋体" w:hAnsi="宋体"/>
                <w:szCs w:val="21"/>
              </w:rPr>
              <w:t>型号</w:t>
            </w:r>
          </w:p>
          <w:p>
            <w:pPr>
              <w:jc w:val="center"/>
              <w:rPr>
                <w:rFonts w:ascii="宋体" w:hAnsi="宋体"/>
                <w:szCs w:val="21"/>
              </w:rPr>
            </w:pPr>
            <w:r>
              <w:rPr>
                <w:rFonts w:hint="eastAsia" w:ascii="宋体" w:hAnsi="宋体"/>
                <w:szCs w:val="21"/>
              </w:rPr>
              <w:t>规格</w:t>
            </w:r>
          </w:p>
        </w:tc>
        <w:tc>
          <w:tcPr>
            <w:tcW w:w="1022" w:type="dxa"/>
            <w:vAlign w:val="center"/>
          </w:tcPr>
          <w:p>
            <w:pPr>
              <w:jc w:val="center"/>
              <w:rPr>
                <w:rFonts w:ascii="宋体" w:hAnsi="宋体"/>
                <w:szCs w:val="21"/>
              </w:rPr>
            </w:pPr>
            <w:r>
              <w:rPr>
                <w:rFonts w:hint="eastAsia" w:ascii="宋体" w:hAnsi="宋体"/>
                <w:szCs w:val="21"/>
              </w:rPr>
              <w:t>数  量</w:t>
            </w:r>
          </w:p>
        </w:tc>
        <w:tc>
          <w:tcPr>
            <w:tcW w:w="709" w:type="dxa"/>
            <w:vAlign w:val="center"/>
          </w:tcPr>
          <w:p>
            <w:pPr>
              <w:jc w:val="center"/>
              <w:rPr>
                <w:rFonts w:ascii="宋体" w:hAnsi="宋体"/>
                <w:szCs w:val="21"/>
              </w:rPr>
            </w:pPr>
            <w:r>
              <w:rPr>
                <w:rFonts w:hint="eastAsia" w:ascii="宋体" w:hAnsi="宋体"/>
                <w:szCs w:val="21"/>
              </w:rPr>
              <w:t>国别</w:t>
            </w:r>
          </w:p>
          <w:p>
            <w:pPr>
              <w:jc w:val="center"/>
              <w:rPr>
                <w:rFonts w:ascii="宋体" w:hAnsi="宋体"/>
                <w:szCs w:val="21"/>
              </w:rPr>
            </w:pPr>
            <w:r>
              <w:rPr>
                <w:rFonts w:hint="eastAsia" w:ascii="宋体" w:hAnsi="宋体"/>
                <w:szCs w:val="21"/>
              </w:rPr>
              <w:t>产地</w:t>
            </w:r>
          </w:p>
        </w:tc>
        <w:tc>
          <w:tcPr>
            <w:tcW w:w="709" w:type="dxa"/>
            <w:vAlign w:val="center"/>
          </w:tcPr>
          <w:p>
            <w:pPr>
              <w:jc w:val="center"/>
              <w:rPr>
                <w:rFonts w:ascii="宋体" w:hAnsi="宋体"/>
                <w:szCs w:val="21"/>
              </w:rPr>
            </w:pPr>
            <w:r>
              <w:rPr>
                <w:rFonts w:hint="eastAsia" w:ascii="宋体" w:hAnsi="宋体"/>
                <w:szCs w:val="21"/>
              </w:rPr>
              <w:t>制造</w:t>
            </w:r>
          </w:p>
          <w:p>
            <w:pPr>
              <w:jc w:val="center"/>
              <w:rPr>
                <w:rFonts w:ascii="宋体" w:hAnsi="宋体"/>
                <w:szCs w:val="21"/>
              </w:rPr>
            </w:pPr>
            <w:r>
              <w:rPr>
                <w:rFonts w:hint="eastAsia" w:ascii="宋体" w:hAnsi="宋体"/>
                <w:szCs w:val="21"/>
              </w:rPr>
              <w:t>年份</w:t>
            </w:r>
          </w:p>
        </w:tc>
        <w:tc>
          <w:tcPr>
            <w:tcW w:w="1176" w:type="dxa"/>
            <w:vAlign w:val="center"/>
          </w:tcPr>
          <w:p>
            <w:pPr>
              <w:jc w:val="center"/>
              <w:rPr>
                <w:rFonts w:ascii="宋体" w:hAnsi="宋体"/>
                <w:szCs w:val="21"/>
              </w:rPr>
            </w:pPr>
            <w:r>
              <w:rPr>
                <w:rFonts w:hint="eastAsia" w:ascii="宋体" w:hAnsi="宋体"/>
                <w:szCs w:val="21"/>
              </w:rPr>
              <w:t>已使用台</w:t>
            </w:r>
          </w:p>
          <w:p>
            <w:pPr>
              <w:jc w:val="center"/>
              <w:rPr>
                <w:rFonts w:ascii="宋体" w:hAnsi="宋体"/>
                <w:szCs w:val="21"/>
              </w:rPr>
            </w:pPr>
            <w:r>
              <w:rPr>
                <w:rFonts w:hint="eastAsia" w:ascii="宋体" w:hAnsi="宋体"/>
                <w:szCs w:val="21"/>
              </w:rPr>
              <w:t>时    数</w:t>
            </w:r>
          </w:p>
        </w:tc>
        <w:tc>
          <w:tcPr>
            <w:tcW w:w="1659" w:type="dxa"/>
            <w:vAlign w:val="center"/>
          </w:tcPr>
          <w:p>
            <w:pPr>
              <w:jc w:val="center"/>
              <w:rPr>
                <w:rFonts w:ascii="宋体" w:hAnsi="宋体"/>
                <w:szCs w:val="21"/>
              </w:rPr>
            </w:pPr>
            <w:r>
              <w:rPr>
                <w:rFonts w:hint="eastAsia" w:ascii="宋体" w:hAnsi="宋体"/>
                <w:szCs w:val="21"/>
              </w:rPr>
              <w:t>用  途</w:t>
            </w:r>
          </w:p>
        </w:tc>
        <w:tc>
          <w:tcPr>
            <w:tcW w:w="850"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ascii="宋体" w:hAnsi="宋体"/>
                <w:szCs w:val="21"/>
              </w:rPr>
            </w:pPr>
          </w:p>
        </w:tc>
        <w:tc>
          <w:tcPr>
            <w:tcW w:w="1064" w:type="dxa"/>
            <w:vAlign w:val="center"/>
          </w:tcPr>
          <w:p>
            <w:pPr>
              <w:jc w:val="center"/>
              <w:rPr>
                <w:rFonts w:ascii="宋体" w:hAnsi="宋体"/>
                <w:szCs w:val="21"/>
              </w:rPr>
            </w:pPr>
          </w:p>
        </w:tc>
        <w:tc>
          <w:tcPr>
            <w:tcW w:w="672" w:type="dxa"/>
            <w:vAlign w:val="center"/>
          </w:tcPr>
          <w:p>
            <w:pPr>
              <w:jc w:val="center"/>
              <w:rPr>
                <w:rFonts w:ascii="宋体" w:hAnsi="宋体"/>
                <w:szCs w:val="21"/>
              </w:rPr>
            </w:pPr>
          </w:p>
        </w:tc>
        <w:tc>
          <w:tcPr>
            <w:tcW w:w="1022"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76" w:type="dxa"/>
            <w:vAlign w:val="center"/>
          </w:tcPr>
          <w:p>
            <w:pPr>
              <w:jc w:val="center"/>
              <w:rPr>
                <w:rFonts w:ascii="宋体" w:hAnsi="宋体"/>
                <w:szCs w:val="21"/>
              </w:rPr>
            </w:pPr>
          </w:p>
        </w:tc>
        <w:tc>
          <w:tcPr>
            <w:tcW w:w="1659"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bl>
    <w:p>
      <w:pPr>
        <w:spacing w:line="420" w:lineRule="exact"/>
        <w:rPr>
          <w:rFonts w:ascii="宋体" w:hAnsi="宋体"/>
          <w:szCs w:val="21"/>
        </w:rPr>
      </w:pPr>
    </w:p>
    <w:p>
      <w:pPr>
        <w:spacing w:line="420" w:lineRule="exact"/>
        <w:rPr>
          <w:rStyle w:val="23"/>
          <w:b/>
        </w:rPr>
      </w:pPr>
      <w:r>
        <w:rPr>
          <w:rFonts w:ascii="宋体" w:hAnsi="宋体"/>
          <w:szCs w:val="21"/>
        </w:rPr>
        <w:br w:type="page"/>
      </w:r>
      <w:r>
        <w:rPr>
          <w:rStyle w:val="23"/>
          <w:rFonts w:hint="eastAsia"/>
          <w:b/>
        </w:rPr>
        <w:t>附表三：劳动力计划表</w:t>
      </w:r>
    </w:p>
    <w:p>
      <w:pPr>
        <w:wordWrap w:val="0"/>
        <w:spacing w:line="420" w:lineRule="exact"/>
        <w:ind w:right="735"/>
        <w:jc w:val="right"/>
        <w:rPr>
          <w:rFonts w:ascii="黑体" w:hAnsi="宋体" w:eastAsia="黑体"/>
          <w:szCs w:val="21"/>
        </w:rPr>
      </w:pPr>
      <w:r>
        <w:rPr>
          <w:rFonts w:hint="eastAsia" w:ascii="黑体" w:hAnsi="宋体" w:eastAsia="黑体"/>
          <w:szCs w:val="21"/>
        </w:rPr>
        <w:t xml:space="preserve">单位：人   </w:t>
      </w:r>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9" w:type="dxa"/>
            <w:vAlign w:val="center"/>
          </w:tcPr>
          <w:p>
            <w:pPr>
              <w:jc w:val="center"/>
              <w:rPr>
                <w:rFonts w:ascii="宋体" w:hAnsi="宋体"/>
                <w:szCs w:val="21"/>
              </w:rPr>
            </w:pPr>
            <w:r>
              <w:rPr>
                <w:rFonts w:hint="eastAsia" w:ascii="宋体" w:hAnsi="宋体"/>
                <w:szCs w:val="21"/>
              </w:rPr>
              <w:t>工种</w:t>
            </w:r>
          </w:p>
        </w:tc>
        <w:tc>
          <w:tcPr>
            <w:tcW w:w="7796" w:type="dxa"/>
            <w:gridSpan w:val="7"/>
            <w:vAlign w:val="center"/>
          </w:tcPr>
          <w:p>
            <w:pPr>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c>
          <w:tcPr>
            <w:tcW w:w="1063" w:type="dxa"/>
            <w:vAlign w:val="center"/>
          </w:tcPr>
          <w:p>
            <w:pPr>
              <w:jc w:val="center"/>
              <w:rPr>
                <w:rFonts w:ascii="宋体" w:hAnsi="宋体"/>
                <w:szCs w:val="21"/>
              </w:rPr>
            </w:pPr>
          </w:p>
        </w:tc>
      </w:tr>
    </w:tbl>
    <w:p>
      <w:pPr>
        <w:spacing w:line="420" w:lineRule="exact"/>
        <w:rPr>
          <w:rFonts w:ascii="宋体" w:hAnsi="宋体"/>
          <w:szCs w:val="21"/>
        </w:rPr>
      </w:pPr>
    </w:p>
    <w:p>
      <w:pPr>
        <w:spacing w:line="600" w:lineRule="exact"/>
        <w:rPr>
          <w:rStyle w:val="23"/>
          <w:b/>
        </w:rPr>
      </w:pPr>
      <w:r>
        <w:rPr>
          <w:rFonts w:ascii="宋体" w:hAnsi="宋体"/>
          <w:szCs w:val="21"/>
        </w:rPr>
        <w:br w:type="page"/>
      </w:r>
      <w:r>
        <w:rPr>
          <w:rStyle w:val="23"/>
          <w:rFonts w:hint="eastAsia"/>
          <w:b/>
        </w:rPr>
        <w:t>附表四：计划开、竣工日期和施工进度网络图</w:t>
      </w:r>
    </w:p>
    <w:p>
      <w:pPr>
        <w:spacing w:line="420" w:lineRule="exact"/>
        <w:ind w:firstLine="420" w:firstLineChars="200"/>
        <w:rPr>
          <w:rFonts w:ascii="宋体" w:hAnsi="宋体"/>
          <w:szCs w:val="21"/>
        </w:rPr>
      </w:pPr>
      <w:r>
        <w:rPr>
          <w:rFonts w:hint="eastAsia" w:ascii="宋体" w:hAnsi="宋体"/>
          <w:szCs w:val="21"/>
        </w:rPr>
        <w:t>1．供应商应递交施工进度网络图或施工进度表，说明按磋商文件要求的计划工期进行施工的各个关键日期。</w:t>
      </w:r>
    </w:p>
    <w:p>
      <w:pPr>
        <w:spacing w:line="420" w:lineRule="exact"/>
        <w:ind w:firstLine="420" w:firstLineChars="200"/>
        <w:rPr>
          <w:rFonts w:ascii="宋体" w:hAnsi="宋体"/>
          <w:szCs w:val="21"/>
        </w:rPr>
      </w:pPr>
      <w:r>
        <w:rPr>
          <w:rFonts w:hint="eastAsia" w:ascii="宋体" w:hAnsi="宋体"/>
          <w:szCs w:val="21"/>
        </w:rPr>
        <w:t>2．施工进度表可采用网络图和（或）横道图表示。</w:t>
      </w:r>
    </w:p>
    <w:p>
      <w:pPr>
        <w:spacing w:line="420" w:lineRule="exact"/>
        <w:rPr>
          <w:rStyle w:val="23"/>
          <w:b/>
        </w:rPr>
      </w:pPr>
    </w:p>
    <w:p>
      <w:pPr>
        <w:spacing w:line="600" w:lineRule="exact"/>
        <w:rPr>
          <w:rStyle w:val="23"/>
          <w:b/>
        </w:rPr>
      </w:pPr>
      <w:r>
        <w:rPr>
          <w:rStyle w:val="23"/>
          <w:rFonts w:hint="eastAsia"/>
          <w:b/>
        </w:rPr>
        <w:t>附表五：施工总平面图</w:t>
      </w:r>
    </w:p>
    <w:p>
      <w:pPr>
        <w:spacing w:line="420" w:lineRule="exact"/>
        <w:ind w:firstLine="420" w:firstLineChars="200"/>
        <w:rPr>
          <w:rFonts w:ascii="宋体" w:hAnsi="宋体"/>
          <w:szCs w:val="21"/>
        </w:rPr>
      </w:pPr>
      <w:r>
        <w:rPr>
          <w:rFonts w:hint="eastAsia" w:ascii="宋体" w:hAnsi="宋体"/>
          <w:szCs w:val="21"/>
        </w:rPr>
        <w:t>供应商应递交一份施工总平面图，绘出现场临时设施布置图表并附文字说明，说明临时设施、加工车间、现场办公、设备及仓储、供电、供水、卫生、生活、道路、消防等设施的情况和布置。</w:t>
      </w:r>
    </w:p>
    <w:p>
      <w:pPr>
        <w:spacing w:line="240" w:lineRule="exact"/>
        <w:rPr>
          <w:rFonts w:ascii="黑体" w:hAnsi="宋体" w:eastAsia="黑体"/>
          <w:sz w:val="24"/>
        </w:rPr>
      </w:pPr>
      <w:r>
        <w:rPr>
          <w:rFonts w:ascii="黑体" w:hAnsi="宋体" w:eastAsia="黑体"/>
          <w:sz w:val="24"/>
        </w:rPr>
        <w:br w:type="page"/>
      </w:r>
    </w:p>
    <w:p>
      <w:pPr>
        <w:spacing w:line="420" w:lineRule="exact"/>
        <w:rPr>
          <w:rStyle w:val="23"/>
          <w:b/>
        </w:rPr>
      </w:pPr>
      <w:r>
        <w:rPr>
          <w:rStyle w:val="23"/>
          <w:rFonts w:hint="eastAsia"/>
          <w:b/>
        </w:rPr>
        <w:t>附表六：临时用地表</w:t>
      </w:r>
    </w:p>
    <w:p>
      <w:pPr>
        <w:spacing w:line="240" w:lineRule="exact"/>
        <w:rPr>
          <w:rStyle w:val="23"/>
          <w:b/>
        </w:rPr>
      </w:pPr>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Align w:val="center"/>
          </w:tcPr>
          <w:p>
            <w:pPr>
              <w:jc w:val="center"/>
              <w:rPr>
                <w:rFonts w:ascii="宋体" w:hAnsi="宋体"/>
                <w:szCs w:val="21"/>
              </w:rPr>
            </w:pPr>
            <w:r>
              <w:rPr>
                <w:rFonts w:hint="eastAsia" w:ascii="宋体" w:hAnsi="宋体"/>
                <w:szCs w:val="21"/>
              </w:rPr>
              <w:t>用  途</w:t>
            </w:r>
          </w:p>
        </w:tc>
        <w:tc>
          <w:tcPr>
            <w:tcW w:w="2079" w:type="dxa"/>
            <w:vAlign w:val="center"/>
          </w:tcPr>
          <w:p>
            <w:pPr>
              <w:jc w:val="center"/>
              <w:rPr>
                <w:rFonts w:ascii="宋体" w:hAnsi="宋体"/>
                <w:szCs w:val="21"/>
              </w:rPr>
            </w:pPr>
            <w:r>
              <w:rPr>
                <w:rFonts w:hint="eastAsia" w:ascii="宋体" w:hAnsi="宋体"/>
                <w:szCs w:val="21"/>
              </w:rPr>
              <w:t>面 积（平方米）</w:t>
            </w:r>
          </w:p>
        </w:tc>
        <w:tc>
          <w:tcPr>
            <w:tcW w:w="2079" w:type="dxa"/>
            <w:vAlign w:val="center"/>
          </w:tcPr>
          <w:p>
            <w:pPr>
              <w:jc w:val="center"/>
              <w:rPr>
                <w:rFonts w:ascii="宋体" w:hAnsi="宋体"/>
                <w:szCs w:val="21"/>
              </w:rPr>
            </w:pPr>
            <w:r>
              <w:rPr>
                <w:rFonts w:hint="eastAsia" w:ascii="宋体" w:hAnsi="宋体"/>
                <w:szCs w:val="21"/>
              </w:rPr>
              <w:t>位  置</w:t>
            </w:r>
          </w:p>
        </w:tc>
        <w:tc>
          <w:tcPr>
            <w:tcW w:w="2079" w:type="dxa"/>
            <w:vAlign w:val="center"/>
          </w:tcPr>
          <w:p>
            <w:pPr>
              <w:jc w:val="center"/>
              <w:rPr>
                <w:rFonts w:ascii="宋体" w:hAnsi="宋体"/>
                <w:szCs w:val="21"/>
              </w:rPr>
            </w:pPr>
            <w:r>
              <w:rPr>
                <w:rFonts w:hint="eastAsia" w:ascii="宋体" w:hAnsi="宋体"/>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c>
          <w:tcPr>
            <w:tcW w:w="2079" w:type="dxa"/>
          </w:tcPr>
          <w:p>
            <w:pPr>
              <w:rPr>
                <w:rFonts w:ascii="宋体" w:hAnsi="宋体"/>
                <w:szCs w:val="21"/>
              </w:rPr>
            </w:pPr>
          </w:p>
        </w:tc>
      </w:tr>
    </w:tbl>
    <w:p>
      <w:pPr>
        <w:spacing w:line="420" w:lineRule="exact"/>
        <w:rPr>
          <w:rFonts w:ascii="宋体" w:hAnsi="宋体"/>
          <w:szCs w:val="21"/>
        </w:rPr>
      </w:pPr>
    </w:p>
    <w:p>
      <w:pPr>
        <w:spacing w:line="240" w:lineRule="atLeast"/>
        <w:rPr>
          <w:rFonts w:ascii="黑体" w:hAnsi="宋体" w:eastAsia="黑体"/>
          <w:sz w:val="24"/>
        </w:rPr>
      </w:pPr>
      <w:r>
        <w:rPr>
          <w:rFonts w:ascii="宋体" w:hAnsi="宋体"/>
          <w:szCs w:val="21"/>
        </w:rPr>
        <w:br w:type="page"/>
      </w:r>
    </w:p>
    <w:p>
      <w:pPr>
        <w:pStyle w:val="16"/>
        <w:outlineLvl w:val="9"/>
      </w:pPr>
      <w:r>
        <w:rPr>
          <w:rFonts w:hint="eastAsia"/>
        </w:rPr>
        <w:t>五、项目管理机构人员情况表</w:t>
      </w:r>
    </w:p>
    <w:p>
      <w:pPr>
        <w:spacing w:afterLines="100" w:line="420" w:lineRule="exact"/>
        <w:jc w:val="center"/>
        <w:rPr>
          <w:rStyle w:val="23"/>
          <w:b/>
        </w:rPr>
      </w:pPr>
      <w:r>
        <w:rPr>
          <w:rStyle w:val="23"/>
          <w:rFonts w:hint="eastAsia"/>
          <w:b/>
        </w:rPr>
        <w:t>（一）项目管理机构人员组成表</w:t>
      </w:r>
    </w:p>
    <w:tbl>
      <w:tblPr>
        <w:tblStyle w:val="20"/>
        <w:tblW w:w="94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vAlign w:val="center"/>
          </w:tcPr>
          <w:p>
            <w:pPr>
              <w:jc w:val="center"/>
              <w:rPr>
                <w:rFonts w:ascii="宋体" w:hAnsi="宋体"/>
                <w:szCs w:val="21"/>
              </w:rPr>
            </w:pPr>
            <w:r>
              <w:rPr>
                <w:rFonts w:hint="eastAsia" w:ascii="宋体" w:hAnsi="宋体"/>
                <w:szCs w:val="21"/>
              </w:rPr>
              <w:t>职务</w:t>
            </w:r>
          </w:p>
        </w:tc>
        <w:tc>
          <w:tcPr>
            <w:tcW w:w="709" w:type="dxa"/>
            <w:vMerge w:val="restart"/>
            <w:vAlign w:val="center"/>
          </w:tcPr>
          <w:p>
            <w:pPr>
              <w:jc w:val="center"/>
              <w:rPr>
                <w:rFonts w:ascii="宋体" w:hAnsi="宋体"/>
                <w:szCs w:val="21"/>
              </w:rPr>
            </w:pPr>
            <w:r>
              <w:rPr>
                <w:rFonts w:hint="eastAsia" w:ascii="宋体" w:hAnsi="宋体"/>
                <w:szCs w:val="21"/>
              </w:rPr>
              <w:t>姓名</w:t>
            </w:r>
          </w:p>
        </w:tc>
        <w:tc>
          <w:tcPr>
            <w:tcW w:w="709" w:type="dxa"/>
            <w:vMerge w:val="restart"/>
            <w:vAlign w:val="center"/>
          </w:tcPr>
          <w:p>
            <w:pPr>
              <w:jc w:val="center"/>
              <w:rPr>
                <w:rFonts w:ascii="宋体" w:hAnsi="宋体"/>
                <w:szCs w:val="21"/>
              </w:rPr>
            </w:pPr>
            <w:r>
              <w:rPr>
                <w:rFonts w:hint="eastAsia" w:ascii="宋体" w:hAnsi="宋体"/>
                <w:szCs w:val="21"/>
              </w:rPr>
              <w:t>职称</w:t>
            </w:r>
          </w:p>
        </w:tc>
        <w:tc>
          <w:tcPr>
            <w:tcW w:w="5670" w:type="dxa"/>
            <w:gridSpan w:val="5"/>
            <w:vAlign w:val="center"/>
          </w:tcPr>
          <w:p>
            <w:pPr>
              <w:jc w:val="center"/>
              <w:rPr>
                <w:rFonts w:ascii="宋体" w:hAnsi="宋体"/>
                <w:szCs w:val="21"/>
              </w:rPr>
            </w:pPr>
            <w:r>
              <w:rPr>
                <w:rFonts w:hint="eastAsia" w:ascii="宋体" w:hAnsi="宋体"/>
                <w:szCs w:val="21"/>
              </w:rPr>
              <w:t>执业或职业资格证明</w:t>
            </w:r>
          </w:p>
        </w:tc>
        <w:tc>
          <w:tcPr>
            <w:tcW w:w="1616" w:type="dxa"/>
            <w:vMerge w:val="restart"/>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证书名称</w:t>
            </w:r>
          </w:p>
        </w:tc>
        <w:tc>
          <w:tcPr>
            <w:tcW w:w="771" w:type="dxa"/>
            <w:vAlign w:val="center"/>
          </w:tcPr>
          <w:p>
            <w:pPr>
              <w:jc w:val="center"/>
              <w:rPr>
                <w:rFonts w:ascii="宋体" w:hAnsi="宋体"/>
                <w:szCs w:val="21"/>
              </w:rPr>
            </w:pPr>
            <w:r>
              <w:rPr>
                <w:rFonts w:hint="eastAsia" w:ascii="宋体" w:hAnsi="宋体"/>
                <w:szCs w:val="21"/>
              </w:rPr>
              <w:t>级别</w:t>
            </w:r>
          </w:p>
        </w:tc>
        <w:tc>
          <w:tcPr>
            <w:tcW w:w="788" w:type="dxa"/>
            <w:vAlign w:val="center"/>
          </w:tcPr>
          <w:p>
            <w:pPr>
              <w:jc w:val="center"/>
              <w:rPr>
                <w:rFonts w:ascii="宋体" w:hAnsi="宋体"/>
                <w:szCs w:val="21"/>
              </w:rPr>
            </w:pPr>
            <w:r>
              <w:rPr>
                <w:rFonts w:hint="eastAsia" w:ascii="宋体" w:hAnsi="宋体"/>
                <w:szCs w:val="21"/>
              </w:rPr>
              <w:t>证号</w:t>
            </w:r>
          </w:p>
        </w:tc>
        <w:tc>
          <w:tcPr>
            <w:tcW w:w="850" w:type="dxa"/>
            <w:vAlign w:val="center"/>
          </w:tcPr>
          <w:p>
            <w:pPr>
              <w:jc w:val="center"/>
              <w:rPr>
                <w:rFonts w:ascii="宋体" w:hAnsi="宋体"/>
                <w:szCs w:val="21"/>
              </w:rPr>
            </w:pPr>
            <w:r>
              <w:rPr>
                <w:rFonts w:hint="eastAsia" w:ascii="宋体" w:hAnsi="宋体"/>
                <w:szCs w:val="21"/>
              </w:rPr>
              <w:t>专业</w:t>
            </w:r>
          </w:p>
        </w:tc>
        <w:tc>
          <w:tcPr>
            <w:tcW w:w="2127" w:type="dxa"/>
            <w:vAlign w:val="center"/>
          </w:tcPr>
          <w:p>
            <w:pPr>
              <w:jc w:val="center"/>
              <w:rPr>
                <w:rFonts w:ascii="宋体" w:hAnsi="宋体"/>
                <w:szCs w:val="21"/>
              </w:rPr>
            </w:pPr>
            <w:r>
              <w:rPr>
                <w:rFonts w:hint="eastAsia" w:ascii="宋体" w:hAnsi="宋体"/>
                <w:szCs w:val="21"/>
              </w:rPr>
              <w:t>养老保险</w:t>
            </w:r>
          </w:p>
        </w:tc>
        <w:tc>
          <w:tcPr>
            <w:tcW w:w="1616"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1616" w:type="dxa"/>
            <w:vAlign w:val="center"/>
          </w:tcPr>
          <w:p>
            <w:pPr>
              <w:jc w:val="center"/>
              <w:rPr>
                <w:rFonts w:ascii="宋体" w:hAnsi="宋体"/>
                <w:szCs w:val="21"/>
              </w:rPr>
            </w:pPr>
          </w:p>
        </w:tc>
      </w:tr>
    </w:tbl>
    <w:p>
      <w:pPr>
        <w:spacing w:line="420" w:lineRule="exact"/>
        <w:rPr>
          <w:rFonts w:ascii="宋体" w:hAnsi="宋体"/>
          <w:szCs w:val="21"/>
        </w:rPr>
      </w:pPr>
    </w:p>
    <w:p>
      <w:pPr>
        <w:spacing w:line="240" w:lineRule="exact"/>
        <w:rPr>
          <w:rFonts w:ascii="宋体" w:hAnsi="宋体"/>
          <w:szCs w:val="21"/>
        </w:rPr>
      </w:pPr>
      <w:r>
        <w:rPr>
          <w:rFonts w:ascii="宋体" w:hAnsi="宋体"/>
          <w:szCs w:val="21"/>
        </w:rPr>
        <w:br w:type="page"/>
      </w:r>
    </w:p>
    <w:p>
      <w:pPr>
        <w:spacing w:afterLines="100" w:line="420" w:lineRule="exact"/>
        <w:jc w:val="center"/>
        <w:rPr>
          <w:rStyle w:val="23"/>
          <w:b/>
        </w:rPr>
      </w:pPr>
      <w:r>
        <w:rPr>
          <w:rStyle w:val="23"/>
          <w:rFonts w:hint="eastAsia"/>
          <w:b/>
        </w:rPr>
        <w:t>（二）主要人员简历表</w:t>
      </w:r>
    </w:p>
    <w:p>
      <w:pPr>
        <w:rPr>
          <w:rStyle w:val="23"/>
          <w:rFonts w:ascii="宋体" w:hAnsi="宋体"/>
          <w:b/>
        </w:rPr>
      </w:pPr>
      <w:r>
        <w:rPr>
          <w:rStyle w:val="23"/>
          <w:rFonts w:hint="eastAsia" w:ascii="宋体" w:hAnsi="宋体"/>
          <w:b/>
        </w:rPr>
        <w:t>附1：项目经理简历表</w:t>
      </w:r>
    </w:p>
    <w:p>
      <w:pPr>
        <w:ind w:firstLine="420" w:firstLineChars="200"/>
        <w:rPr>
          <w:rFonts w:ascii="宋体" w:hAnsi="宋体"/>
          <w:szCs w:val="21"/>
        </w:rPr>
      </w:pPr>
      <w:r>
        <w:rPr>
          <w:rFonts w:hint="eastAsia" w:ascii="宋体" w:hAnsi="宋体"/>
          <w:szCs w:val="21"/>
        </w:rPr>
        <w:t>项目经理应附建造师执业资格证书、注册证书、安全生产考核合格证书、身份证、职称证、学历证、养老保险复印件及未担任其他在施建设工程项目项目经理的承诺书，管理过的项目业绩须附合同协议书和竣工验收备案登记表复印件。类似项目限于以项目经理身份参与的项目。</w:t>
      </w:r>
    </w:p>
    <w:p>
      <w:pPr>
        <w:ind w:firstLine="420" w:firstLineChars="200"/>
        <w:rPr>
          <w:rFonts w:ascii="宋体" w:hAnsi="宋体"/>
          <w:szCs w:val="21"/>
        </w:rPr>
      </w:pPr>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szCs w:val="21"/>
              </w:rPr>
            </w:pPr>
            <w:r>
              <w:rPr>
                <w:rFonts w:hint="eastAsia" w:ascii="宋体" w:hAnsi="宋体"/>
                <w:szCs w:val="21"/>
              </w:rPr>
              <w:t>姓  名</w:t>
            </w: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出生年月</w:t>
            </w: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r>
              <w:rPr>
                <w:rFonts w:hint="eastAsia" w:ascii="宋体" w:hAnsi="宋体"/>
                <w:szCs w:val="21"/>
              </w:rPr>
              <w:t>学历</w:t>
            </w: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szCs w:val="21"/>
              </w:rPr>
            </w:pPr>
            <w:r>
              <w:rPr>
                <w:rFonts w:hint="eastAsia" w:ascii="宋体" w:hAnsi="宋体"/>
                <w:szCs w:val="21"/>
              </w:rPr>
              <w:t>职  称</w:t>
            </w: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职  务</w:t>
            </w: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r>
              <w:rPr>
                <w:rFonts w:hint="eastAsia" w:ascii="宋体" w:hAnsi="宋体"/>
                <w:szCs w:val="21"/>
              </w:rPr>
              <w:t>拟在本工程任职</w:t>
            </w:r>
          </w:p>
        </w:tc>
        <w:tc>
          <w:tcPr>
            <w:tcW w:w="2126" w:type="dxa"/>
            <w:vAlign w:val="center"/>
          </w:tcPr>
          <w:p>
            <w:pPr>
              <w:jc w:val="center"/>
              <w:rPr>
                <w:rFonts w:ascii="宋体" w:hAnsi="宋体"/>
                <w:szCs w:val="21"/>
              </w:rPr>
            </w:pPr>
            <w:r>
              <w:rPr>
                <w:rFonts w:hint="eastAsia" w:ascii="宋体"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hAnsi="宋体"/>
                <w:szCs w:val="21"/>
              </w:rPr>
            </w:pPr>
            <w:r>
              <w:rPr>
                <w:rFonts w:hint="eastAsia" w:ascii="宋体" w:hAnsi="宋体"/>
                <w:szCs w:val="21"/>
              </w:rPr>
              <w:t>注册建造师执业资格等级</w:t>
            </w:r>
          </w:p>
        </w:tc>
        <w:tc>
          <w:tcPr>
            <w:tcW w:w="1275" w:type="dxa"/>
            <w:vAlign w:val="center"/>
          </w:tcPr>
          <w:p>
            <w:pPr>
              <w:jc w:val="center"/>
              <w:rPr>
                <w:rFonts w:ascii="宋体" w:hAnsi="宋体"/>
                <w:szCs w:val="21"/>
              </w:rPr>
            </w:pPr>
            <w:r>
              <w:rPr>
                <w:rFonts w:hint="eastAsia" w:ascii="宋体" w:hAnsi="宋体"/>
                <w:szCs w:val="21"/>
              </w:rPr>
              <w:t xml:space="preserve">      级</w:t>
            </w:r>
          </w:p>
        </w:tc>
        <w:tc>
          <w:tcPr>
            <w:tcW w:w="1843" w:type="dxa"/>
            <w:vAlign w:val="center"/>
          </w:tcPr>
          <w:p>
            <w:pPr>
              <w:jc w:val="center"/>
              <w:rPr>
                <w:rFonts w:ascii="宋体" w:hAnsi="宋体"/>
                <w:szCs w:val="21"/>
              </w:rPr>
            </w:pPr>
            <w:r>
              <w:rPr>
                <w:rFonts w:hint="eastAsia" w:ascii="宋体" w:hAnsi="宋体"/>
                <w:szCs w:val="21"/>
              </w:rPr>
              <w:t>建造师专业</w:t>
            </w: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hAnsi="宋体"/>
                <w:szCs w:val="21"/>
              </w:rPr>
            </w:pPr>
            <w:r>
              <w:rPr>
                <w:rFonts w:hint="eastAsia" w:ascii="宋体" w:hAnsi="宋体"/>
                <w:szCs w:val="21"/>
              </w:rPr>
              <w:t>安全生产考核合格证书</w:t>
            </w:r>
          </w:p>
        </w:tc>
        <w:tc>
          <w:tcPr>
            <w:tcW w:w="5244"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szCs w:val="21"/>
              </w:rPr>
            </w:pPr>
            <w:r>
              <w:rPr>
                <w:rFonts w:hint="eastAsia" w:ascii="宋体" w:hAnsi="宋体"/>
                <w:szCs w:val="21"/>
              </w:rPr>
              <w:t>毕业学校</w:t>
            </w:r>
          </w:p>
        </w:tc>
        <w:tc>
          <w:tcPr>
            <w:tcW w:w="7413" w:type="dxa"/>
            <w:gridSpan w:val="5"/>
            <w:vAlign w:val="center"/>
          </w:tcPr>
          <w:p>
            <w:pPr>
              <w:ind w:firstLine="840" w:firstLineChars="40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05" w:type="dxa"/>
            <w:gridSpan w:val="6"/>
            <w:vAlign w:val="center"/>
          </w:tcPr>
          <w:p>
            <w:pPr>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szCs w:val="21"/>
              </w:rPr>
            </w:pPr>
            <w:r>
              <w:rPr>
                <w:rFonts w:hint="eastAsia" w:ascii="宋体" w:hAnsi="宋体"/>
                <w:szCs w:val="21"/>
              </w:rPr>
              <w:t>时  间</w:t>
            </w:r>
          </w:p>
        </w:tc>
        <w:tc>
          <w:tcPr>
            <w:tcW w:w="3444" w:type="dxa"/>
            <w:gridSpan w:val="3"/>
            <w:vAlign w:val="center"/>
          </w:tcPr>
          <w:p>
            <w:pPr>
              <w:jc w:val="center"/>
              <w:rPr>
                <w:rFonts w:ascii="宋体" w:hAnsi="宋体"/>
                <w:szCs w:val="21"/>
              </w:rPr>
            </w:pPr>
            <w:r>
              <w:rPr>
                <w:rFonts w:hint="eastAsia" w:ascii="宋体" w:hAnsi="宋体"/>
                <w:szCs w:val="21"/>
              </w:rPr>
              <w:t>参加过的类似项目名称</w:t>
            </w:r>
          </w:p>
        </w:tc>
        <w:tc>
          <w:tcPr>
            <w:tcW w:w="1843" w:type="dxa"/>
            <w:vAlign w:val="center"/>
          </w:tcPr>
          <w:p>
            <w:pPr>
              <w:jc w:val="center"/>
              <w:rPr>
                <w:rFonts w:ascii="宋体" w:hAnsi="宋体"/>
                <w:szCs w:val="21"/>
              </w:rPr>
            </w:pPr>
            <w:r>
              <w:rPr>
                <w:rFonts w:hint="eastAsia" w:ascii="宋体" w:hAnsi="宋体"/>
                <w:szCs w:val="21"/>
              </w:rPr>
              <w:t>工程概况说明</w:t>
            </w:r>
          </w:p>
        </w:tc>
        <w:tc>
          <w:tcPr>
            <w:tcW w:w="2126" w:type="dxa"/>
            <w:vAlign w:val="center"/>
          </w:tcPr>
          <w:p>
            <w:pPr>
              <w:jc w:val="center"/>
              <w:rPr>
                <w:rFonts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5" w:type="dxa"/>
            <w:vAlign w:val="center"/>
          </w:tcPr>
          <w:p>
            <w:pPr>
              <w:jc w:val="center"/>
              <w:rPr>
                <w:rFonts w:ascii="宋体" w:hAnsi="宋体"/>
                <w:szCs w:val="21"/>
              </w:rPr>
            </w:pPr>
          </w:p>
        </w:tc>
        <w:tc>
          <w:tcPr>
            <w:tcW w:w="1843" w:type="dxa"/>
            <w:vAlign w:val="center"/>
          </w:tcPr>
          <w:p>
            <w:pPr>
              <w:jc w:val="center"/>
              <w:rPr>
                <w:rFonts w:ascii="宋体" w:hAnsi="宋体"/>
                <w:szCs w:val="21"/>
              </w:rPr>
            </w:pPr>
          </w:p>
        </w:tc>
        <w:tc>
          <w:tcPr>
            <w:tcW w:w="2126" w:type="dxa"/>
            <w:vAlign w:val="center"/>
          </w:tcPr>
          <w:p>
            <w:pPr>
              <w:jc w:val="center"/>
              <w:rPr>
                <w:rFonts w:ascii="宋体" w:hAnsi="宋体"/>
                <w:szCs w:val="21"/>
              </w:rPr>
            </w:pPr>
          </w:p>
        </w:tc>
      </w:tr>
    </w:tbl>
    <w:p>
      <w:pPr>
        <w:spacing w:line="420" w:lineRule="exact"/>
        <w:rPr>
          <w:rFonts w:ascii="宋体" w:hAnsi="宋体"/>
          <w:szCs w:val="21"/>
        </w:rPr>
      </w:pPr>
    </w:p>
    <w:p>
      <w:pPr>
        <w:spacing w:line="420" w:lineRule="exact"/>
        <w:rPr>
          <w:rFonts w:ascii="宋体" w:hAnsi="宋体"/>
          <w:szCs w:val="21"/>
        </w:rPr>
      </w:pPr>
      <w:r>
        <w:rPr>
          <w:rFonts w:ascii="宋体" w:hAnsi="宋体"/>
          <w:szCs w:val="21"/>
        </w:rPr>
        <w:br w:type="page"/>
      </w:r>
    </w:p>
    <w:p>
      <w:pPr>
        <w:rPr>
          <w:rStyle w:val="23"/>
          <w:rFonts w:ascii="宋体" w:hAnsi="宋体"/>
          <w:b/>
        </w:rPr>
      </w:pPr>
      <w:r>
        <w:rPr>
          <w:rStyle w:val="23"/>
          <w:rFonts w:hint="eastAsia" w:ascii="宋体" w:hAnsi="宋体"/>
          <w:b/>
        </w:rPr>
        <w:t>附2：主要项目管理人员简历表</w:t>
      </w:r>
    </w:p>
    <w:p>
      <w:pPr>
        <w:ind w:firstLine="420" w:firstLineChars="200"/>
        <w:rPr>
          <w:rFonts w:ascii="宋体" w:hAnsi="宋体"/>
          <w:szCs w:val="21"/>
        </w:rPr>
      </w:pPr>
      <w:r>
        <w:rPr>
          <w:rFonts w:hint="eastAsia" w:ascii="宋体" w:hAnsi="宋体"/>
          <w:szCs w:val="21"/>
        </w:rPr>
        <w:t>主要项目管理人员指项目副经理、技术负责人、合同负责人、专职安全生产管理人员等岗位人员。应附注册资格证书、身份证、职称证、学历证、养老保险复印件，专职安全生产管理人员应附安全生产考核合格证书，主要业绩须附合同协议书。</w:t>
      </w:r>
    </w:p>
    <w:p>
      <w:pPr>
        <w:rPr>
          <w:rFonts w:ascii="宋体" w:hAnsi="宋体"/>
          <w:szCs w:val="21"/>
        </w:rPr>
      </w:pPr>
    </w:p>
    <w:tbl>
      <w:tblPr>
        <w:tblStyle w:val="20"/>
        <w:tblW w:w="928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2"/>
        <w:gridCol w:w="2116"/>
        <w:gridCol w:w="2116"/>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vAlign w:val="center"/>
          </w:tcPr>
          <w:p>
            <w:pPr>
              <w:spacing w:line="420" w:lineRule="exact"/>
              <w:jc w:val="center"/>
              <w:rPr>
                <w:rFonts w:ascii="宋体" w:hAnsi="宋体"/>
                <w:szCs w:val="21"/>
              </w:rPr>
            </w:pPr>
            <w:r>
              <w:rPr>
                <w:rFonts w:hint="eastAsia" w:ascii="宋体" w:hAnsi="宋体"/>
                <w:szCs w:val="21"/>
              </w:rPr>
              <w:t>岗位名称</w:t>
            </w:r>
          </w:p>
        </w:tc>
        <w:tc>
          <w:tcPr>
            <w:tcW w:w="7164" w:type="dxa"/>
            <w:gridSpan w:val="3"/>
          </w:tcPr>
          <w:p>
            <w:pPr>
              <w:spacing w:line="4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tcPr>
          <w:p>
            <w:pPr>
              <w:spacing w:line="420" w:lineRule="exact"/>
              <w:jc w:val="center"/>
              <w:rPr>
                <w:rFonts w:ascii="宋体" w:hAnsi="宋体"/>
                <w:szCs w:val="21"/>
              </w:rPr>
            </w:pPr>
            <w:r>
              <w:rPr>
                <w:rFonts w:hint="eastAsia" w:ascii="宋体" w:hAnsi="宋体"/>
                <w:szCs w:val="21"/>
              </w:rPr>
              <w:t>姓    名</w:t>
            </w:r>
          </w:p>
        </w:tc>
        <w:tc>
          <w:tcPr>
            <w:tcW w:w="2116" w:type="dxa"/>
          </w:tcPr>
          <w:p>
            <w:pPr>
              <w:spacing w:line="420" w:lineRule="exact"/>
              <w:jc w:val="center"/>
              <w:rPr>
                <w:rFonts w:ascii="宋体" w:hAnsi="宋体"/>
                <w:szCs w:val="21"/>
              </w:rPr>
            </w:pPr>
          </w:p>
        </w:tc>
        <w:tc>
          <w:tcPr>
            <w:tcW w:w="2116" w:type="dxa"/>
          </w:tcPr>
          <w:p>
            <w:pPr>
              <w:spacing w:line="420" w:lineRule="exact"/>
              <w:jc w:val="center"/>
              <w:rPr>
                <w:rFonts w:ascii="宋体" w:hAnsi="宋体"/>
                <w:szCs w:val="21"/>
              </w:rPr>
            </w:pPr>
            <w:r>
              <w:rPr>
                <w:rFonts w:hint="eastAsia" w:ascii="宋体" w:hAnsi="宋体"/>
                <w:szCs w:val="21"/>
              </w:rPr>
              <w:t>年    龄</w:t>
            </w:r>
          </w:p>
        </w:tc>
        <w:tc>
          <w:tcPr>
            <w:tcW w:w="2932" w:type="dxa"/>
          </w:tcPr>
          <w:p>
            <w:pPr>
              <w:spacing w:line="4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tcPr>
          <w:p>
            <w:pPr>
              <w:spacing w:line="420" w:lineRule="exact"/>
              <w:jc w:val="center"/>
              <w:rPr>
                <w:rFonts w:ascii="宋体" w:hAnsi="宋体"/>
                <w:szCs w:val="21"/>
              </w:rPr>
            </w:pPr>
            <w:r>
              <w:rPr>
                <w:rFonts w:hint="eastAsia" w:ascii="宋体" w:hAnsi="宋体"/>
                <w:szCs w:val="21"/>
              </w:rPr>
              <w:t>性    别</w:t>
            </w:r>
          </w:p>
        </w:tc>
        <w:tc>
          <w:tcPr>
            <w:tcW w:w="2116" w:type="dxa"/>
          </w:tcPr>
          <w:p>
            <w:pPr>
              <w:spacing w:line="420" w:lineRule="exact"/>
              <w:jc w:val="center"/>
              <w:rPr>
                <w:rFonts w:ascii="宋体" w:hAnsi="宋体"/>
                <w:szCs w:val="21"/>
              </w:rPr>
            </w:pPr>
          </w:p>
        </w:tc>
        <w:tc>
          <w:tcPr>
            <w:tcW w:w="2116" w:type="dxa"/>
          </w:tcPr>
          <w:p>
            <w:pPr>
              <w:spacing w:line="420" w:lineRule="exact"/>
              <w:jc w:val="center"/>
              <w:rPr>
                <w:rFonts w:ascii="宋体" w:hAnsi="宋体"/>
                <w:szCs w:val="21"/>
              </w:rPr>
            </w:pPr>
            <w:r>
              <w:rPr>
                <w:rFonts w:hint="eastAsia" w:ascii="宋体" w:hAnsi="宋体"/>
                <w:szCs w:val="21"/>
              </w:rPr>
              <w:t>毕业学校</w:t>
            </w:r>
          </w:p>
        </w:tc>
        <w:tc>
          <w:tcPr>
            <w:tcW w:w="2932" w:type="dxa"/>
          </w:tcPr>
          <w:p>
            <w:pPr>
              <w:spacing w:line="4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tcPr>
          <w:p>
            <w:pPr>
              <w:spacing w:line="420" w:lineRule="exact"/>
              <w:jc w:val="center"/>
              <w:rPr>
                <w:rFonts w:ascii="宋体" w:hAnsi="宋体"/>
                <w:szCs w:val="21"/>
              </w:rPr>
            </w:pPr>
            <w:r>
              <w:rPr>
                <w:rFonts w:hint="eastAsia" w:ascii="宋体" w:hAnsi="宋体"/>
                <w:szCs w:val="21"/>
              </w:rPr>
              <w:t>学历和专业</w:t>
            </w:r>
          </w:p>
        </w:tc>
        <w:tc>
          <w:tcPr>
            <w:tcW w:w="2116" w:type="dxa"/>
          </w:tcPr>
          <w:p>
            <w:pPr>
              <w:spacing w:line="420" w:lineRule="exact"/>
              <w:jc w:val="center"/>
              <w:rPr>
                <w:rFonts w:ascii="宋体" w:hAnsi="宋体"/>
                <w:szCs w:val="21"/>
              </w:rPr>
            </w:pPr>
          </w:p>
        </w:tc>
        <w:tc>
          <w:tcPr>
            <w:tcW w:w="2116" w:type="dxa"/>
          </w:tcPr>
          <w:p>
            <w:pPr>
              <w:spacing w:line="420" w:lineRule="exact"/>
              <w:jc w:val="center"/>
              <w:rPr>
                <w:rFonts w:ascii="宋体" w:hAnsi="宋体"/>
                <w:szCs w:val="21"/>
              </w:rPr>
            </w:pPr>
            <w:r>
              <w:rPr>
                <w:rFonts w:hint="eastAsia" w:ascii="宋体" w:hAnsi="宋体"/>
                <w:szCs w:val="21"/>
              </w:rPr>
              <w:t>毕业时间</w:t>
            </w:r>
          </w:p>
        </w:tc>
        <w:tc>
          <w:tcPr>
            <w:tcW w:w="2932" w:type="dxa"/>
          </w:tcPr>
          <w:p>
            <w:pPr>
              <w:spacing w:line="4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tcPr>
          <w:p>
            <w:pPr>
              <w:spacing w:line="420" w:lineRule="exact"/>
              <w:jc w:val="center"/>
              <w:rPr>
                <w:rFonts w:ascii="宋体" w:hAnsi="宋体"/>
                <w:szCs w:val="21"/>
              </w:rPr>
            </w:pPr>
            <w:r>
              <w:rPr>
                <w:rFonts w:hint="eastAsia" w:ascii="宋体" w:hAnsi="宋体"/>
                <w:szCs w:val="21"/>
              </w:rPr>
              <w:t>拥有的执业资格</w:t>
            </w:r>
          </w:p>
        </w:tc>
        <w:tc>
          <w:tcPr>
            <w:tcW w:w="2116" w:type="dxa"/>
          </w:tcPr>
          <w:p>
            <w:pPr>
              <w:spacing w:line="420" w:lineRule="exact"/>
              <w:jc w:val="center"/>
              <w:rPr>
                <w:rFonts w:ascii="宋体" w:hAnsi="宋体"/>
                <w:szCs w:val="21"/>
              </w:rPr>
            </w:pPr>
          </w:p>
        </w:tc>
        <w:tc>
          <w:tcPr>
            <w:tcW w:w="2116" w:type="dxa"/>
          </w:tcPr>
          <w:p>
            <w:pPr>
              <w:spacing w:line="420" w:lineRule="exact"/>
              <w:jc w:val="center"/>
              <w:rPr>
                <w:rFonts w:ascii="宋体" w:hAnsi="宋体"/>
                <w:szCs w:val="21"/>
              </w:rPr>
            </w:pPr>
            <w:r>
              <w:rPr>
                <w:rFonts w:hint="eastAsia" w:ascii="宋体" w:hAnsi="宋体"/>
                <w:szCs w:val="21"/>
              </w:rPr>
              <w:t>专业职称</w:t>
            </w:r>
          </w:p>
        </w:tc>
        <w:tc>
          <w:tcPr>
            <w:tcW w:w="2932" w:type="dxa"/>
          </w:tcPr>
          <w:p>
            <w:pPr>
              <w:spacing w:line="4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tcPr>
          <w:p>
            <w:pPr>
              <w:spacing w:line="420" w:lineRule="exact"/>
              <w:jc w:val="center"/>
              <w:rPr>
                <w:rFonts w:ascii="宋体" w:hAnsi="宋体"/>
                <w:szCs w:val="21"/>
              </w:rPr>
            </w:pPr>
            <w:r>
              <w:rPr>
                <w:rFonts w:hint="eastAsia" w:ascii="宋体" w:hAnsi="宋体"/>
                <w:szCs w:val="21"/>
              </w:rPr>
              <w:t>执业资格证书编号</w:t>
            </w:r>
          </w:p>
        </w:tc>
        <w:tc>
          <w:tcPr>
            <w:tcW w:w="2116" w:type="dxa"/>
          </w:tcPr>
          <w:p>
            <w:pPr>
              <w:spacing w:line="420" w:lineRule="exact"/>
              <w:jc w:val="center"/>
              <w:rPr>
                <w:rFonts w:ascii="宋体" w:hAnsi="宋体"/>
                <w:szCs w:val="21"/>
              </w:rPr>
            </w:pPr>
          </w:p>
        </w:tc>
        <w:tc>
          <w:tcPr>
            <w:tcW w:w="2116" w:type="dxa"/>
          </w:tcPr>
          <w:p>
            <w:pPr>
              <w:spacing w:line="420" w:lineRule="exact"/>
              <w:jc w:val="center"/>
              <w:rPr>
                <w:rFonts w:ascii="宋体" w:hAnsi="宋体"/>
                <w:szCs w:val="21"/>
              </w:rPr>
            </w:pPr>
            <w:r>
              <w:rPr>
                <w:rFonts w:hint="eastAsia" w:ascii="宋体" w:hAnsi="宋体"/>
                <w:szCs w:val="21"/>
              </w:rPr>
              <w:t>工作年限</w:t>
            </w:r>
          </w:p>
        </w:tc>
        <w:tc>
          <w:tcPr>
            <w:tcW w:w="2932" w:type="dxa"/>
          </w:tcPr>
          <w:p>
            <w:pPr>
              <w:spacing w:line="4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22" w:type="dxa"/>
          </w:tcPr>
          <w:p>
            <w:pPr>
              <w:ind w:firstLine="1050" w:firstLineChars="500"/>
              <w:rPr>
                <w:rFonts w:ascii="宋体" w:hAnsi="宋体"/>
                <w:szCs w:val="21"/>
              </w:rPr>
            </w:pPr>
          </w:p>
          <w:p>
            <w:pPr>
              <w:ind w:firstLine="1050" w:firstLineChars="500"/>
              <w:rPr>
                <w:rFonts w:ascii="宋体" w:hAnsi="宋体"/>
                <w:szCs w:val="21"/>
              </w:rPr>
            </w:pPr>
            <w:r>
              <w:rPr>
                <w:rFonts w:hint="eastAsia" w:ascii="宋体" w:hAnsi="宋体"/>
                <w:szCs w:val="21"/>
              </w:rPr>
              <w:t>主</w:t>
            </w:r>
          </w:p>
          <w:p>
            <w:pPr>
              <w:ind w:firstLine="1050" w:firstLineChars="500"/>
              <w:rPr>
                <w:rFonts w:ascii="宋体" w:hAnsi="宋体"/>
                <w:szCs w:val="21"/>
              </w:rPr>
            </w:pPr>
            <w:r>
              <w:rPr>
                <w:rFonts w:hint="eastAsia" w:ascii="宋体" w:hAnsi="宋体"/>
                <w:szCs w:val="21"/>
              </w:rPr>
              <w:t>要</w:t>
            </w:r>
          </w:p>
          <w:p>
            <w:pPr>
              <w:ind w:firstLine="1050" w:firstLineChars="500"/>
              <w:rPr>
                <w:rFonts w:ascii="宋体" w:hAnsi="宋体"/>
                <w:szCs w:val="21"/>
              </w:rPr>
            </w:pPr>
            <w:r>
              <w:rPr>
                <w:rFonts w:hint="eastAsia" w:ascii="宋体" w:hAnsi="宋体"/>
                <w:szCs w:val="21"/>
              </w:rPr>
              <w:t>工</w:t>
            </w:r>
          </w:p>
          <w:p>
            <w:pPr>
              <w:ind w:firstLine="1050" w:firstLineChars="500"/>
              <w:rPr>
                <w:rFonts w:ascii="宋体" w:hAnsi="宋体"/>
                <w:szCs w:val="21"/>
              </w:rPr>
            </w:pPr>
            <w:r>
              <w:rPr>
                <w:rFonts w:hint="eastAsia" w:ascii="宋体" w:hAnsi="宋体"/>
                <w:szCs w:val="21"/>
              </w:rPr>
              <w:t>作</w:t>
            </w:r>
          </w:p>
          <w:p>
            <w:pPr>
              <w:ind w:firstLine="1050" w:firstLineChars="500"/>
              <w:rPr>
                <w:rFonts w:ascii="宋体" w:hAnsi="宋体"/>
                <w:szCs w:val="21"/>
              </w:rPr>
            </w:pPr>
            <w:r>
              <w:rPr>
                <w:rFonts w:hint="eastAsia" w:ascii="宋体" w:hAnsi="宋体"/>
                <w:szCs w:val="21"/>
              </w:rPr>
              <w:t>业</w:t>
            </w:r>
          </w:p>
          <w:p>
            <w:pPr>
              <w:ind w:firstLine="1050" w:firstLineChars="500"/>
              <w:rPr>
                <w:rFonts w:ascii="宋体" w:hAnsi="宋体"/>
                <w:szCs w:val="21"/>
              </w:rPr>
            </w:pPr>
            <w:r>
              <w:rPr>
                <w:rFonts w:hint="eastAsia" w:ascii="宋体" w:hAnsi="宋体"/>
                <w:szCs w:val="21"/>
              </w:rPr>
              <w:t>绩</w:t>
            </w:r>
          </w:p>
          <w:p>
            <w:pPr>
              <w:ind w:firstLine="1050" w:firstLineChars="500"/>
              <w:rPr>
                <w:rFonts w:ascii="宋体" w:hAnsi="宋体"/>
                <w:szCs w:val="21"/>
              </w:rPr>
            </w:pPr>
            <w:r>
              <w:rPr>
                <w:rFonts w:hint="eastAsia" w:ascii="宋体" w:hAnsi="宋体"/>
                <w:szCs w:val="21"/>
              </w:rPr>
              <w:t>及</w:t>
            </w:r>
          </w:p>
          <w:p>
            <w:pPr>
              <w:ind w:firstLine="1050" w:firstLineChars="500"/>
              <w:rPr>
                <w:rFonts w:ascii="宋体" w:hAnsi="宋体"/>
                <w:szCs w:val="21"/>
              </w:rPr>
            </w:pPr>
            <w:r>
              <w:rPr>
                <w:rFonts w:hint="eastAsia" w:ascii="宋体" w:hAnsi="宋体"/>
                <w:szCs w:val="21"/>
              </w:rPr>
              <w:t>担</w:t>
            </w:r>
          </w:p>
          <w:p>
            <w:pPr>
              <w:ind w:firstLine="1050" w:firstLineChars="500"/>
              <w:rPr>
                <w:rFonts w:ascii="宋体" w:hAnsi="宋体"/>
                <w:szCs w:val="21"/>
              </w:rPr>
            </w:pPr>
            <w:r>
              <w:rPr>
                <w:rFonts w:hint="eastAsia" w:ascii="宋体" w:hAnsi="宋体"/>
                <w:szCs w:val="21"/>
              </w:rPr>
              <w:t>任</w:t>
            </w:r>
          </w:p>
          <w:p>
            <w:pPr>
              <w:ind w:firstLine="1050" w:firstLineChars="500"/>
              <w:rPr>
                <w:rFonts w:ascii="宋体" w:hAnsi="宋体"/>
                <w:szCs w:val="21"/>
              </w:rPr>
            </w:pPr>
            <w:r>
              <w:rPr>
                <w:rFonts w:hint="eastAsia" w:ascii="宋体" w:hAnsi="宋体"/>
                <w:szCs w:val="21"/>
              </w:rPr>
              <w:t>的</w:t>
            </w:r>
          </w:p>
          <w:p>
            <w:pPr>
              <w:ind w:firstLine="1050" w:firstLineChars="500"/>
              <w:rPr>
                <w:rFonts w:ascii="宋体" w:hAnsi="宋体"/>
                <w:szCs w:val="21"/>
              </w:rPr>
            </w:pPr>
            <w:r>
              <w:rPr>
                <w:rFonts w:hint="eastAsia" w:ascii="宋体" w:hAnsi="宋体"/>
                <w:szCs w:val="21"/>
              </w:rPr>
              <w:t>主</w:t>
            </w:r>
          </w:p>
          <w:p>
            <w:pPr>
              <w:ind w:firstLine="1050" w:firstLineChars="500"/>
              <w:rPr>
                <w:rFonts w:ascii="宋体" w:hAnsi="宋体"/>
                <w:szCs w:val="21"/>
              </w:rPr>
            </w:pPr>
            <w:r>
              <w:rPr>
                <w:rFonts w:hint="eastAsia" w:ascii="宋体" w:hAnsi="宋体"/>
                <w:szCs w:val="21"/>
              </w:rPr>
              <w:t>要</w:t>
            </w:r>
          </w:p>
          <w:p>
            <w:pPr>
              <w:ind w:firstLine="1050" w:firstLineChars="500"/>
              <w:rPr>
                <w:rFonts w:ascii="宋体" w:hAnsi="宋体"/>
                <w:szCs w:val="21"/>
              </w:rPr>
            </w:pPr>
            <w:r>
              <w:rPr>
                <w:rFonts w:hint="eastAsia" w:ascii="宋体" w:hAnsi="宋体"/>
                <w:szCs w:val="21"/>
              </w:rPr>
              <w:t>工</w:t>
            </w:r>
          </w:p>
          <w:p>
            <w:pPr>
              <w:ind w:firstLine="1050" w:firstLineChars="500"/>
              <w:rPr>
                <w:rFonts w:ascii="宋体" w:hAnsi="宋体"/>
                <w:szCs w:val="21"/>
              </w:rPr>
            </w:pPr>
            <w:r>
              <w:rPr>
                <w:rFonts w:hint="eastAsia" w:ascii="宋体" w:hAnsi="宋体"/>
                <w:szCs w:val="21"/>
              </w:rPr>
              <w:t>作</w:t>
            </w:r>
          </w:p>
          <w:p>
            <w:pPr>
              <w:spacing w:line="420" w:lineRule="exact"/>
              <w:jc w:val="center"/>
              <w:rPr>
                <w:rFonts w:ascii="宋体" w:hAnsi="宋体"/>
                <w:szCs w:val="21"/>
              </w:rPr>
            </w:pPr>
          </w:p>
        </w:tc>
        <w:tc>
          <w:tcPr>
            <w:tcW w:w="7164" w:type="dxa"/>
            <w:gridSpan w:val="3"/>
          </w:tcPr>
          <w:p>
            <w:pPr>
              <w:spacing w:line="420" w:lineRule="exact"/>
              <w:jc w:val="center"/>
              <w:rPr>
                <w:rFonts w:ascii="宋体" w:hAnsi="宋体"/>
                <w:szCs w:val="21"/>
              </w:rPr>
            </w:pPr>
          </w:p>
        </w:tc>
      </w:tr>
    </w:tbl>
    <w:p>
      <w:pPr>
        <w:rPr>
          <w:rFonts w:ascii="黑体" w:hAnsi="宋体" w:eastAsia="黑体"/>
          <w:szCs w:val="21"/>
        </w:rPr>
      </w:pPr>
    </w:p>
    <w:p>
      <w:pPr>
        <w:spacing w:line="240" w:lineRule="atLeast"/>
        <w:rPr>
          <w:rFonts w:ascii="黑体" w:hAnsi="宋体" w:eastAsia="黑体"/>
          <w:szCs w:val="21"/>
        </w:rPr>
      </w:pPr>
      <w:r>
        <w:rPr>
          <w:rFonts w:ascii="黑体" w:hAnsi="宋体" w:eastAsia="黑体"/>
          <w:szCs w:val="21"/>
        </w:rPr>
        <w:br w:type="page"/>
      </w:r>
    </w:p>
    <w:p>
      <w:pPr>
        <w:rPr>
          <w:rStyle w:val="23"/>
          <w:rFonts w:ascii="宋体" w:hAnsi="宋体"/>
          <w:b/>
        </w:rPr>
      </w:pPr>
      <w:r>
        <w:rPr>
          <w:rStyle w:val="23"/>
          <w:rFonts w:hint="eastAsia" w:ascii="宋体" w:hAnsi="宋体"/>
          <w:b/>
        </w:rPr>
        <w:t>附3：磋商承诺书</w:t>
      </w:r>
    </w:p>
    <w:p>
      <w:pPr>
        <w:jc w:val="center"/>
        <w:rPr>
          <w:rFonts w:ascii="宋体" w:hAnsi="宋体"/>
          <w:b/>
          <w:bCs/>
          <w:sz w:val="24"/>
        </w:rPr>
      </w:pPr>
      <w:r>
        <w:rPr>
          <w:rFonts w:hint="eastAsia" w:ascii="宋体" w:hAnsi="宋体"/>
          <w:b/>
          <w:bCs/>
          <w:sz w:val="24"/>
        </w:rPr>
        <w:t>磋 商 承 诺 书（2011版）</w:t>
      </w:r>
    </w:p>
    <w:p>
      <w:pPr>
        <w:jc w:val="center"/>
        <w:rPr>
          <w:rFonts w:ascii="宋体" w:hAnsi="宋体"/>
          <w:szCs w:val="21"/>
        </w:rPr>
      </w:pPr>
      <w:r>
        <w:rPr>
          <w:rFonts w:hint="eastAsia" w:ascii="宋体" w:hAnsi="宋体"/>
          <w:szCs w:val="21"/>
        </w:rPr>
        <w:t>（本承诺书装订于响应文件</w:t>
      </w:r>
      <w:r>
        <w:rPr>
          <w:rFonts w:hint="eastAsia" w:ascii="宋体" w:hAnsi="宋体"/>
          <w:b/>
          <w:bCs/>
          <w:szCs w:val="21"/>
        </w:rPr>
        <w:t>首页</w:t>
      </w:r>
      <w:r>
        <w:rPr>
          <w:rFonts w:hint="eastAsia" w:ascii="宋体" w:hAnsi="宋体"/>
          <w:szCs w:val="21"/>
        </w:rPr>
        <w:t>）</w:t>
      </w:r>
    </w:p>
    <w:p>
      <w:pPr>
        <w:jc w:val="center"/>
        <w:rPr>
          <w:rFonts w:ascii="仿宋_GB2312" w:hAnsi="宋体" w:eastAsia="仿宋_GB2312"/>
          <w:sz w:val="24"/>
        </w:rPr>
      </w:pPr>
    </w:p>
    <w:p>
      <w:pPr>
        <w:spacing w:line="340" w:lineRule="exact"/>
        <w:rPr>
          <w:rFonts w:ascii="宋体" w:hAnsi="宋体"/>
          <w:szCs w:val="21"/>
        </w:rPr>
      </w:pPr>
      <w:r>
        <w:rPr>
          <w:rFonts w:hint="eastAsia" w:ascii="宋体" w:hAnsi="宋体"/>
          <w:szCs w:val="21"/>
        </w:rPr>
        <w:t>本公司承诺：</w:t>
      </w:r>
    </w:p>
    <w:p>
      <w:pPr>
        <w:spacing w:line="340" w:lineRule="exact"/>
        <w:ind w:firstLine="420" w:firstLineChars="200"/>
        <w:rPr>
          <w:rFonts w:ascii="宋体" w:hAnsi="宋体"/>
          <w:szCs w:val="21"/>
        </w:rPr>
      </w:pPr>
      <w:r>
        <w:rPr>
          <w:rFonts w:hint="eastAsia" w:ascii="宋体" w:hAnsi="宋体"/>
          <w:szCs w:val="21"/>
        </w:rPr>
        <w:t>遵循公开、公平、公正和诚实守信的原则，参加</w:t>
      </w:r>
      <w:r>
        <w:rPr>
          <w:rFonts w:hint="eastAsia" w:ascii="宋体" w:hAnsi="宋体"/>
          <w:szCs w:val="21"/>
          <w:u w:val="single"/>
        </w:rPr>
        <w:t xml:space="preserve">                        </w:t>
      </w:r>
      <w:r>
        <w:rPr>
          <w:rFonts w:hint="eastAsia" w:ascii="宋体" w:hAnsi="宋体"/>
          <w:szCs w:val="21"/>
        </w:rPr>
        <w:t>项目的磋商。</w:t>
      </w:r>
    </w:p>
    <w:p>
      <w:pPr>
        <w:spacing w:line="340" w:lineRule="exact"/>
        <w:ind w:firstLine="420" w:firstLineChars="200"/>
        <w:rPr>
          <w:rFonts w:ascii="宋体" w:hAnsi="宋体"/>
          <w:szCs w:val="21"/>
        </w:rPr>
      </w:pPr>
      <w:r>
        <w:rPr>
          <w:rFonts w:hint="eastAsia" w:ascii="宋体" w:hAnsi="宋体"/>
          <w:szCs w:val="21"/>
        </w:rPr>
        <w:t>一、不提供有违真实的材料。</w:t>
      </w:r>
    </w:p>
    <w:p>
      <w:pPr>
        <w:spacing w:line="340" w:lineRule="exact"/>
        <w:ind w:firstLine="420" w:firstLineChars="200"/>
        <w:rPr>
          <w:rFonts w:ascii="宋体" w:hAnsi="宋体"/>
          <w:szCs w:val="21"/>
        </w:rPr>
      </w:pPr>
      <w:r>
        <w:rPr>
          <w:rFonts w:hint="eastAsia" w:ascii="宋体" w:hAnsi="宋体"/>
          <w:szCs w:val="21"/>
        </w:rPr>
        <w:t>二、不与招标人或其他供应商串通磋商，损害国家利益、社会利益或他人的合法权益。</w:t>
      </w:r>
    </w:p>
    <w:p>
      <w:pPr>
        <w:spacing w:line="340" w:lineRule="exact"/>
        <w:ind w:firstLine="420" w:firstLineChars="200"/>
        <w:rPr>
          <w:rFonts w:ascii="宋体" w:hAnsi="宋体"/>
          <w:szCs w:val="21"/>
        </w:rPr>
      </w:pPr>
      <w:r>
        <w:rPr>
          <w:rFonts w:hint="eastAsia" w:ascii="宋体" w:hAnsi="宋体"/>
          <w:szCs w:val="21"/>
        </w:rPr>
        <w:t>三、不向招标人或磋商小组成员行贿，以谋取成交。</w:t>
      </w:r>
    </w:p>
    <w:p>
      <w:pPr>
        <w:spacing w:line="340" w:lineRule="exact"/>
        <w:ind w:firstLine="420" w:firstLineChars="200"/>
        <w:rPr>
          <w:rFonts w:ascii="宋体" w:hAnsi="宋体"/>
          <w:szCs w:val="21"/>
        </w:rPr>
      </w:pPr>
      <w:r>
        <w:rPr>
          <w:rFonts w:hint="eastAsia" w:ascii="宋体" w:hAnsi="宋体"/>
          <w:szCs w:val="21"/>
        </w:rPr>
        <w:t>四、不以他人名义磋商或者其他方式弄虚作假，骗取成交。</w:t>
      </w:r>
    </w:p>
    <w:p>
      <w:pPr>
        <w:spacing w:line="340" w:lineRule="exact"/>
        <w:ind w:firstLine="420" w:firstLineChars="200"/>
        <w:rPr>
          <w:rFonts w:ascii="宋体" w:hAnsi="宋体"/>
          <w:szCs w:val="21"/>
        </w:rPr>
      </w:pPr>
      <w:r>
        <w:rPr>
          <w:rFonts w:hint="eastAsia" w:ascii="宋体" w:hAnsi="宋体"/>
          <w:szCs w:val="21"/>
        </w:rPr>
        <w:t>五、不进行缺乏事实根据或者法律依据的投诉。</w:t>
      </w:r>
    </w:p>
    <w:p>
      <w:pPr>
        <w:spacing w:line="340" w:lineRule="exact"/>
        <w:ind w:firstLine="420" w:firstLineChars="200"/>
        <w:rPr>
          <w:rFonts w:ascii="宋体" w:hAnsi="宋体"/>
          <w:szCs w:val="21"/>
        </w:rPr>
      </w:pPr>
      <w:r>
        <w:rPr>
          <w:rFonts w:hint="eastAsia" w:ascii="宋体" w:hAnsi="宋体"/>
          <w:szCs w:val="21"/>
        </w:rPr>
        <w:t>六、不在磋商中哄抬价格或恶意压价。</w:t>
      </w:r>
    </w:p>
    <w:p>
      <w:pPr>
        <w:spacing w:line="340" w:lineRule="exact"/>
        <w:ind w:firstLine="420" w:firstLineChars="200"/>
        <w:rPr>
          <w:rFonts w:ascii="宋体" w:hAnsi="宋体"/>
          <w:szCs w:val="21"/>
        </w:rPr>
      </w:pPr>
      <w:r>
        <w:rPr>
          <w:rFonts w:hint="eastAsia" w:ascii="宋体" w:hAnsi="宋体"/>
          <w:szCs w:val="21"/>
        </w:rPr>
        <w:t>七、不违反相关法律法规和工程建设强制性标准进行勘察和设计工作，加强工程建设过程中的现场服务（勘察设计项目）。</w:t>
      </w:r>
    </w:p>
    <w:p>
      <w:pPr>
        <w:spacing w:line="340" w:lineRule="exact"/>
        <w:ind w:firstLine="420" w:firstLineChars="200"/>
        <w:rPr>
          <w:rFonts w:ascii="宋体" w:hAnsi="宋体"/>
          <w:szCs w:val="21"/>
        </w:rPr>
      </w:pPr>
      <w:r>
        <w:rPr>
          <w:rFonts w:hint="eastAsia" w:ascii="宋体" w:hAnsi="宋体"/>
          <w:szCs w:val="21"/>
        </w:rPr>
        <w:t>八、不违反相关法律法规，勘察设计项目负责人应当由注册执业人员担任，并实行严格的岗位负责制（勘察设计项目）。</w:t>
      </w:r>
    </w:p>
    <w:p>
      <w:pPr>
        <w:spacing w:line="340" w:lineRule="exact"/>
        <w:ind w:firstLine="420" w:firstLineChars="200"/>
        <w:rPr>
          <w:rFonts w:ascii="宋体" w:hAnsi="宋体"/>
          <w:szCs w:val="21"/>
        </w:rPr>
      </w:pPr>
      <w:r>
        <w:rPr>
          <w:rFonts w:hint="eastAsia" w:ascii="宋体" w:hAnsi="宋体"/>
          <w:szCs w:val="21"/>
        </w:rPr>
        <w:t>九、不签订与相关价格法律法规违背的监理合同。监理费执行市府发〔2011〕1号文规定，按基准费率上浮20%收取（监理项目）。</w:t>
      </w:r>
    </w:p>
    <w:p>
      <w:pPr>
        <w:spacing w:line="340" w:lineRule="exact"/>
        <w:ind w:firstLine="420" w:firstLineChars="200"/>
        <w:rPr>
          <w:rFonts w:ascii="宋体" w:hAnsi="宋体"/>
          <w:szCs w:val="21"/>
        </w:rPr>
      </w:pPr>
      <w:r>
        <w:rPr>
          <w:rFonts w:hint="eastAsia" w:ascii="宋体" w:hAnsi="宋体"/>
          <w:szCs w:val="21"/>
        </w:rPr>
        <w:t>十、不违反相关法律法规、监理规范及磋商文件要求的总监理工程师承担监理项目数量。严格实行总监理工程师负责制，提高工程监理现场控制能力（监理项目）。</w:t>
      </w:r>
    </w:p>
    <w:p>
      <w:pPr>
        <w:spacing w:line="340" w:lineRule="exact"/>
        <w:ind w:firstLine="420" w:firstLineChars="200"/>
        <w:rPr>
          <w:rFonts w:ascii="宋体" w:hAnsi="宋体"/>
          <w:szCs w:val="21"/>
        </w:rPr>
      </w:pPr>
      <w:r>
        <w:rPr>
          <w:rFonts w:hint="eastAsia" w:ascii="宋体" w:hAnsi="宋体"/>
          <w:szCs w:val="21"/>
        </w:rPr>
        <w:t>十一、不违反相关法律法规，注册建造师不同时在两个及两个以上的建设项目上担任施工项目负责人（施工项目）。</w:t>
      </w:r>
    </w:p>
    <w:p>
      <w:pPr>
        <w:spacing w:line="340" w:lineRule="exact"/>
        <w:ind w:firstLine="420" w:firstLineChars="200"/>
        <w:rPr>
          <w:rFonts w:ascii="宋体" w:hAnsi="宋体"/>
          <w:szCs w:val="21"/>
        </w:rPr>
      </w:pPr>
      <w:r>
        <w:rPr>
          <w:rFonts w:hint="eastAsia" w:ascii="宋体" w:hAnsi="宋体"/>
          <w:szCs w:val="21"/>
        </w:rPr>
        <w:t>十二、遵守国家和本市安全、质量有关法律法规和规范性文件中关于质量员、安全员的数量和人选的相关规定（施工项目）。</w:t>
      </w:r>
    </w:p>
    <w:p>
      <w:pPr>
        <w:spacing w:line="340" w:lineRule="exact"/>
        <w:ind w:firstLine="420" w:firstLineChars="200"/>
        <w:rPr>
          <w:rFonts w:ascii="宋体" w:hAnsi="宋体"/>
          <w:szCs w:val="21"/>
        </w:rPr>
      </w:pPr>
      <w:r>
        <w:rPr>
          <w:rFonts w:hint="eastAsia" w:ascii="宋体" w:hAnsi="宋体"/>
          <w:szCs w:val="21"/>
        </w:rPr>
        <w:t>十三、加强对分包和劳务分包管理，对所分包工程的安全、质量和进度承担责任，不拖欠农民工工资，按时将分包合同报行政部门备案（施工项目）。</w:t>
      </w:r>
    </w:p>
    <w:p>
      <w:pPr>
        <w:spacing w:line="340" w:lineRule="exact"/>
        <w:ind w:firstLine="420" w:firstLineChars="200"/>
        <w:rPr>
          <w:rFonts w:ascii="宋体" w:hAnsi="宋体"/>
          <w:szCs w:val="21"/>
        </w:rPr>
      </w:pPr>
      <w:r>
        <w:rPr>
          <w:rFonts w:hint="eastAsia" w:ascii="宋体" w:hAnsi="宋体"/>
          <w:szCs w:val="21"/>
        </w:rPr>
        <w:t>十四、按照磋商文件规定及合同约定，执行合理的施工工期（施工项目）。</w:t>
      </w:r>
    </w:p>
    <w:p>
      <w:pPr>
        <w:spacing w:line="340" w:lineRule="exact"/>
        <w:ind w:firstLine="420" w:firstLineChars="200"/>
        <w:rPr>
          <w:rFonts w:ascii="宋体" w:hAnsi="宋体"/>
          <w:szCs w:val="21"/>
        </w:rPr>
      </w:pPr>
      <w:r>
        <w:rPr>
          <w:rFonts w:hint="eastAsia" w:ascii="宋体" w:hAnsi="宋体"/>
          <w:szCs w:val="21"/>
        </w:rPr>
        <w:t>十五、保证建筑材料符合相关标准和设计要求，不使用未经检测或者检测质量不合格的建筑材料（施工项目）。</w:t>
      </w:r>
    </w:p>
    <w:p>
      <w:pPr>
        <w:spacing w:line="340" w:lineRule="exact"/>
        <w:ind w:firstLine="420" w:firstLineChars="200"/>
        <w:rPr>
          <w:rFonts w:ascii="宋体" w:hAnsi="宋体"/>
          <w:szCs w:val="21"/>
        </w:rPr>
      </w:pPr>
      <w:r>
        <w:rPr>
          <w:rFonts w:hint="eastAsia" w:ascii="宋体" w:hAnsi="宋体"/>
          <w:szCs w:val="21"/>
        </w:rPr>
        <w:t>十六、本公司若违反本磋商承诺，愿承担相应的法律责任。</w:t>
      </w:r>
    </w:p>
    <w:p>
      <w:pPr>
        <w:spacing w:line="340" w:lineRule="exact"/>
        <w:ind w:firstLine="420" w:firstLineChars="200"/>
        <w:rPr>
          <w:rFonts w:ascii="宋体" w:hAnsi="宋体"/>
          <w:szCs w:val="21"/>
        </w:rPr>
      </w:pPr>
      <w:r>
        <w:rPr>
          <w:rFonts w:hint="eastAsia" w:ascii="宋体" w:hAnsi="宋体"/>
          <w:szCs w:val="21"/>
        </w:rPr>
        <w:t>十七、其他承诺：</w:t>
      </w:r>
      <w:r>
        <w:rPr>
          <w:rFonts w:hint="eastAsia" w:ascii="宋体" w:hAnsi="宋体"/>
          <w:szCs w:val="21"/>
          <w:u w:val="single"/>
        </w:rPr>
        <w:t xml:space="preserve">                                          </w:t>
      </w:r>
      <w:r>
        <w:rPr>
          <w:rFonts w:hint="eastAsia" w:ascii="宋体" w:hAnsi="宋体"/>
          <w:szCs w:val="21"/>
        </w:rPr>
        <w:t>。</w:t>
      </w:r>
    </w:p>
    <w:p>
      <w:pPr>
        <w:spacing w:line="340" w:lineRule="exact"/>
        <w:ind w:firstLine="420" w:firstLineChars="200"/>
        <w:rPr>
          <w:rFonts w:ascii="宋体" w:hAnsi="宋体"/>
          <w:szCs w:val="21"/>
        </w:rPr>
      </w:pPr>
    </w:p>
    <w:p>
      <w:pPr>
        <w:spacing w:line="340" w:lineRule="exact"/>
        <w:ind w:firstLine="420" w:firstLineChars="200"/>
        <w:rPr>
          <w:rFonts w:ascii="宋体" w:hAnsi="宋体"/>
          <w:szCs w:val="21"/>
        </w:rPr>
      </w:pPr>
    </w:p>
    <w:p>
      <w:pPr>
        <w:spacing w:line="340" w:lineRule="exact"/>
        <w:rPr>
          <w:rFonts w:ascii="宋体" w:hAnsi="宋体"/>
          <w:szCs w:val="21"/>
        </w:rPr>
      </w:pPr>
      <w:r>
        <w:rPr>
          <w:rFonts w:hint="eastAsia" w:ascii="宋体" w:hAnsi="宋体"/>
          <w:szCs w:val="21"/>
        </w:rPr>
        <w:t>磋商单位（盖章）：</w:t>
      </w:r>
      <w:r>
        <w:rPr>
          <w:rFonts w:hint="eastAsia" w:ascii="宋体" w:hAnsi="宋体"/>
          <w:szCs w:val="21"/>
          <w:u w:val="single"/>
        </w:rPr>
        <w:t xml:space="preserve">                                           </w:t>
      </w:r>
    </w:p>
    <w:p>
      <w:pPr>
        <w:spacing w:line="340" w:lineRule="exact"/>
        <w:rPr>
          <w:rFonts w:ascii="宋体" w:hAnsi="宋体"/>
          <w:szCs w:val="21"/>
        </w:rPr>
      </w:pPr>
      <w:r>
        <w:rPr>
          <w:rFonts w:hint="eastAsia" w:ascii="宋体" w:hAnsi="宋体"/>
          <w:szCs w:val="21"/>
        </w:rPr>
        <w:t>法定代表人（签章）：</w:t>
      </w:r>
      <w:r>
        <w:rPr>
          <w:rFonts w:hint="eastAsia" w:ascii="宋体" w:hAnsi="宋体"/>
          <w:szCs w:val="21"/>
          <w:u w:val="single"/>
        </w:rPr>
        <w:t xml:space="preserve">                                         </w:t>
      </w:r>
    </w:p>
    <w:p>
      <w:pPr>
        <w:spacing w:line="340" w:lineRule="exact"/>
        <w:rPr>
          <w:rFonts w:ascii="宋体" w:hAnsi="宋体"/>
          <w:szCs w:val="21"/>
        </w:rPr>
      </w:pPr>
      <w:r>
        <w:rPr>
          <w:rFonts w:hint="eastAsia" w:ascii="宋体" w:hAnsi="宋体"/>
          <w:szCs w:val="21"/>
        </w:rPr>
        <w:t>拟任项目负责人（签名、盖执业章）：</w:t>
      </w:r>
      <w:r>
        <w:rPr>
          <w:rFonts w:hint="eastAsia" w:ascii="宋体" w:hAnsi="宋体"/>
          <w:szCs w:val="21"/>
          <w:u w:val="single"/>
        </w:rPr>
        <w:t xml:space="preserve">                           </w:t>
      </w:r>
    </w:p>
    <w:p>
      <w:pPr>
        <w:spacing w:line="340" w:lineRule="exact"/>
        <w:rPr>
          <w:rFonts w:ascii="宋体" w:hAnsi="宋体"/>
          <w:szCs w:val="21"/>
          <w:u w:val="single"/>
        </w:rPr>
      </w:pPr>
      <w:r>
        <w:rPr>
          <w:rFonts w:hint="eastAsia" w:ascii="宋体" w:hAnsi="宋体"/>
          <w:szCs w:val="21"/>
        </w:rPr>
        <w:t>拟任项目负责人手机：</w:t>
      </w:r>
      <w:r>
        <w:rPr>
          <w:rFonts w:hint="eastAsia" w:ascii="宋体" w:hAnsi="宋体"/>
          <w:szCs w:val="21"/>
          <w:u w:val="single"/>
        </w:rPr>
        <w:t xml:space="preserve">                                        </w:t>
      </w:r>
    </w:p>
    <w:p>
      <w:pPr>
        <w:spacing w:line="340" w:lineRule="exact"/>
        <w:ind w:left="5460" w:hanging="5460" w:hangingChars="2600"/>
        <w:jc w:val="left"/>
        <w:rPr>
          <w:rFonts w:ascii="宋体" w:hAnsi="宋体"/>
          <w:szCs w:val="21"/>
        </w:rPr>
      </w:pPr>
    </w:p>
    <w:p>
      <w:pPr>
        <w:spacing w:line="340" w:lineRule="exact"/>
        <w:ind w:left="5460" w:hanging="5460" w:hangingChars="26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240" w:lineRule="atLeast"/>
        <w:rPr>
          <w:sz w:val="24"/>
        </w:rPr>
      </w:pPr>
      <w:r>
        <w:rPr>
          <w:rFonts w:ascii="宋体" w:hAnsi="宋体"/>
          <w:szCs w:val="21"/>
        </w:rPr>
        <w:br w:type="page"/>
      </w:r>
    </w:p>
    <w:p>
      <w:pPr>
        <w:pStyle w:val="16"/>
        <w:outlineLvl w:val="9"/>
      </w:pPr>
      <w:r>
        <w:rPr>
          <w:rFonts w:hint="eastAsia"/>
        </w:rPr>
        <w:t>六、拟分包计划表</w:t>
      </w:r>
    </w:p>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restart"/>
            <w:tcMar>
              <w:left w:w="108" w:type="dxa"/>
              <w:right w:w="108" w:type="dxa"/>
            </w:tcMar>
            <w:vAlign w:val="center"/>
          </w:tcPr>
          <w:p>
            <w:pPr>
              <w:jc w:val="center"/>
              <w:rPr>
                <w:rFonts w:ascii="宋体" w:hAnsi="宋体"/>
                <w:szCs w:val="21"/>
              </w:rPr>
            </w:pPr>
            <w:r>
              <w:rPr>
                <w:rFonts w:hint="eastAsia" w:ascii="宋体" w:hAnsi="宋体"/>
                <w:szCs w:val="21"/>
              </w:rPr>
              <w:t>序</w:t>
            </w:r>
          </w:p>
          <w:p>
            <w:pPr>
              <w:jc w:val="center"/>
              <w:rPr>
                <w:rFonts w:ascii="宋体" w:hAnsi="宋体"/>
                <w:szCs w:val="21"/>
              </w:rPr>
            </w:pPr>
            <w:r>
              <w:rPr>
                <w:rFonts w:hint="eastAsia" w:ascii="宋体" w:hAnsi="宋体"/>
                <w:szCs w:val="21"/>
              </w:rPr>
              <w:t>号</w:t>
            </w:r>
          </w:p>
        </w:tc>
        <w:tc>
          <w:tcPr>
            <w:tcW w:w="1843" w:type="dxa"/>
            <w:vMerge w:val="restart"/>
            <w:tcMar>
              <w:left w:w="108" w:type="dxa"/>
              <w:right w:w="108" w:type="dxa"/>
            </w:tcMar>
            <w:vAlign w:val="center"/>
          </w:tcPr>
          <w:p>
            <w:pPr>
              <w:jc w:val="center"/>
              <w:rPr>
                <w:rFonts w:ascii="宋体" w:hAnsi="宋体"/>
                <w:szCs w:val="21"/>
              </w:rPr>
            </w:pPr>
            <w:r>
              <w:rPr>
                <w:rFonts w:hint="eastAsia" w:ascii="宋体" w:hAnsi="宋体"/>
                <w:szCs w:val="21"/>
              </w:rPr>
              <w:t>拟分包项目名称、范围及理由</w:t>
            </w:r>
          </w:p>
        </w:tc>
        <w:tc>
          <w:tcPr>
            <w:tcW w:w="5111" w:type="dxa"/>
            <w:gridSpan w:val="5"/>
            <w:tcMar>
              <w:left w:w="108" w:type="dxa"/>
              <w:right w:w="108" w:type="dxa"/>
            </w:tcMar>
            <w:vAlign w:val="center"/>
          </w:tcPr>
          <w:p>
            <w:pPr>
              <w:jc w:val="center"/>
              <w:rPr>
                <w:rFonts w:ascii="宋体" w:hAnsi="宋体"/>
                <w:szCs w:val="21"/>
              </w:rPr>
            </w:pPr>
            <w:r>
              <w:rPr>
                <w:rFonts w:hint="eastAsia" w:ascii="宋体" w:hAnsi="宋体"/>
                <w:szCs w:val="21"/>
              </w:rPr>
              <w:t>拟选分包人</w:t>
            </w:r>
          </w:p>
        </w:tc>
        <w:tc>
          <w:tcPr>
            <w:tcW w:w="983" w:type="dxa"/>
            <w:vMerge w:val="restart"/>
            <w:tcMar>
              <w:left w:w="108" w:type="dxa"/>
              <w:right w:w="108" w:type="dxa"/>
            </w:tcMar>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continue"/>
            <w:tcMar>
              <w:left w:w="108" w:type="dxa"/>
              <w:right w:w="108" w:type="dxa"/>
            </w:tcMar>
            <w:vAlign w:val="center"/>
          </w:tcPr>
          <w:p>
            <w:pPr>
              <w:jc w:val="center"/>
              <w:rPr>
                <w:rFonts w:ascii="宋体" w:hAnsi="宋体"/>
                <w:szCs w:val="21"/>
              </w:rPr>
            </w:pPr>
          </w:p>
        </w:tc>
        <w:tc>
          <w:tcPr>
            <w:tcW w:w="1843" w:type="dxa"/>
            <w:vMerge w:val="continue"/>
            <w:tcMar>
              <w:left w:w="108" w:type="dxa"/>
              <w:right w:w="108" w:type="dxa"/>
            </w:tcMar>
            <w:vAlign w:val="center"/>
          </w:tcPr>
          <w:p>
            <w:pPr>
              <w:jc w:val="center"/>
              <w:rPr>
                <w:rFonts w:ascii="宋体" w:hAnsi="宋体"/>
                <w:szCs w:val="21"/>
              </w:rPr>
            </w:pPr>
          </w:p>
        </w:tc>
        <w:tc>
          <w:tcPr>
            <w:tcW w:w="1701" w:type="dxa"/>
            <w:gridSpan w:val="2"/>
            <w:tcMar>
              <w:left w:w="108" w:type="dxa"/>
              <w:right w:w="108" w:type="dxa"/>
            </w:tcMar>
            <w:vAlign w:val="center"/>
          </w:tcPr>
          <w:p>
            <w:pPr>
              <w:jc w:val="center"/>
              <w:rPr>
                <w:rFonts w:ascii="宋体" w:hAnsi="宋体"/>
                <w:szCs w:val="21"/>
              </w:rPr>
            </w:pPr>
            <w:r>
              <w:rPr>
                <w:rFonts w:hint="eastAsia" w:ascii="宋体" w:hAnsi="宋体"/>
                <w:szCs w:val="21"/>
              </w:rPr>
              <w:t>拟选分包人名称</w:t>
            </w:r>
          </w:p>
        </w:tc>
        <w:tc>
          <w:tcPr>
            <w:tcW w:w="1123" w:type="dxa"/>
            <w:tcMar>
              <w:left w:w="108" w:type="dxa"/>
              <w:right w:w="108" w:type="dxa"/>
            </w:tcMar>
            <w:vAlign w:val="center"/>
          </w:tcPr>
          <w:p>
            <w:pPr>
              <w:jc w:val="center"/>
              <w:rPr>
                <w:rFonts w:ascii="宋体" w:hAnsi="宋体"/>
                <w:szCs w:val="21"/>
              </w:rPr>
            </w:pPr>
            <w:r>
              <w:rPr>
                <w:rFonts w:hint="eastAsia" w:ascii="宋体" w:hAnsi="宋体"/>
                <w:szCs w:val="21"/>
              </w:rPr>
              <w:t>注册地点</w:t>
            </w:r>
          </w:p>
        </w:tc>
        <w:tc>
          <w:tcPr>
            <w:tcW w:w="1090" w:type="dxa"/>
            <w:tcMar>
              <w:left w:w="108" w:type="dxa"/>
              <w:right w:w="108" w:type="dxa"/>
            </w:tcMar>
            <w:vAlign w:val="center"/>
          </w:tcPr>
          <w:p>
            <w:pPr>
              <w:jc w:val="center"/>
              <w:rPr>
                <w:rFonts w:ascii="宋体" w:hAnsi="宋体"/>
                <w:szCs w:val="21"/>
              </w:rPr>
            </w:pPr>
            <w:r>
              <w:rPr>
                <w:rFonts w:hint="eastAsia" w:ascii="宋体" w:hAnsi="宋体"/>
                <w:szCs w:val="21"/>
              </w:rPr>
              <w:t>企业资质</w:t>
            </w:r>
          </w:p>
        </w:tc>
        <w:tc>
          <w:tcPr>
            <w:tcW w:w="1197" w:type="dxa"/>
            <w:tcMar>
              <w:left w:w="108" w:type="dxa"/>
              <w:right w:w="108" w:type="dxa"/>
            </w:tcMar>
            <w:vAlign w:val="center"/>
          </w:tcPr>
          <w:p>
            <w:pPr>
              <w:jc w:val="center"/>
              <w:rPr>
                <w:rFonts w:ascii="宋体" w:hAnsi="宋体"/>
                <w:szCs w:val="21"/>
              </w:rPr>
            </w:pPr>
            <w:r>
              <w:rPr>
                <w:rFonts w:hint="eastAsia" w:ascii="宋体" w:hAnsi="宋体"/>
                <w:szCs w:val="21"/>
              </w:rPr>
              <w:t>有关业绩</w:t>
            </w:r>
          </w:p>
        </w:tc>
        <w:tc>
          <w:tcPr>
            <w:tcW w:w="983" w:type="dxa"/>
            <w:vMerge w:val="continue"/>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restart"/>
            <w:tcMar>
              <w:left w:w="108" w:type="dxa"/>
              <w:right w:w="108" w:type="dxa"/>
            </w:tcMar>
            <w:vAlign w:val="center"/>
          </w:tcPr>
          <w:p>
            <w:pPr>
              <w:jc w:val="center"/>
              <w:rPr>
                <w:rFonts w:ascii="宋体" w:hAnsi="宋体"/>
                <w:szCs w:val="21"/>
              </w:rPr>
            </w:pPr>
          </w:p>
        </w:tc>
        <w:tc>
          <w:tcPr>
            <w:tcW w:w="1843" w:type="dxa"/>
            <w:vMerge w:val="restart"/>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1</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continue"/>
            <w:tcMar>
              <w:left w:w="108" w:type="dxa"/>
              <w:right w:w="108" w:type="dxa"/>
            </w:tcMar>
            <w:vAlign w:val="center"/>
          </w:tcPr>
          <w:p>
            <w:pPr>
              <w:jc w:val="center"/>
              <w:rPr>
                <w:rFonts w:ascii="宋体" w:hAnsi="宋体"/>
                <w:szCs w:val="21"/>
              </w:rPr>
            </w:pPr>
          </w:p>
        </w:tc>
        <w:tc>
          <w:tcPr>
            <w:tcW w:w="1843" w:type="dxa"/>
            <w:vMerge w:val="continue"/>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2</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continue"/>
            <w:tcMar>
              <w:left w:w="108" w:type="dxa"/>
              <w:right w:w="108" w:type="dxa"/>
            </w:tcMar>
            <w:vAlign w:val="center"/>
          </w:tcPr>
          <w:p>
            <w:pPr>
              <w:jc w:val="center"/>
              <w:rPr>
                <w:rFonts w:ascii="宋体" w:hAnsi="宋体"/>
                <w:szCs w:val="21"/>
              </w:rPr>
            </w:pPr>
          </w:p>
        </w:tc>
        <w:tc>
          <w:tcPr>
            <w:tcW w:w="1843" w:type="dxa"/>
            <w:vMerge w:val="continue"/>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3</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restart"/>
            <w:tcMar>
              <w:left w:w="108" w:type="dxa"/>
              <w:right w:w="108" w:type="dxa"/>
            </w:tcMar>
            <w:vAlign w:val="center"/>
          </w:tcPr>
          <w:p>
            <w:pPr>
              <w:jc w:val="center"/>
              <w:rPr>
                <w:rFonts w:ascii="宋体" w:hAnsi="宋体"/>
                <w:szCs w:val="21"/>
              </w:rPr>
            </w:pPr>
          </w:p>
        </w:tc>
        <w:tc>
          <w:tcPr>
            <w:tcW w:w="1843" w:type="dxa"/>
            <w:vMerge w:val="restart"/>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1</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continue"/>
            <w:tcMar>
              <w:left w:w="108" w:type="dxa"/>
              <w:right w:w="108" w:type="dxa"/>
            </w:tcMar>
            <w:vAlign w:val="center"/>
          </w:tcPr>
          <w:p>
            <w:pPr>
              <w:jc w:val="center"/>
              <w:rPr>
                <w:rFonts w:ascii="宋体" w:hAnsi="宋体"/>
                <w:szCs w:val="21"/>
              </w:rPr>
            </w:pPr>
          </w:p>
        </w:tc>
        <w:tc>
          <w:tcPr>
            <w:tcW w:w="1843" w:type="dxa"/>
            <w:vMerge w:val="continue"/>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2</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continue"/>
            <w:tcMar>
              <w:left w:w="108" w:type="dxa"/>
              <w:right w:w="108" w:type="dxa"/>
            </w:tcMar>
            <w:vAlign w:val="center"/>
          </w:tcPr>
          <w:p>
            <w:pPr>
              <w:jc w:val="center"/>
              <w:rPr>
                <w:rFonts w:ascii="宋体" w:hAnsi="宋体"/>
                <w:szCs w:val="21"/>
              </w:rPr>
            </w:pPr>
          </w:p>
        </w:tc>
        <w:tc>
          <w:tcPr>
            <w:tcW w:w="1843" w:type="dxa"/>
            <w:vMerge w:val="continue"/>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3</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restart"/>
            <w:tcMar>
              <w:left w:w="108" w:type="dxa"/>
              <w:right w:w="108" w:type="dxa"/>
            </w:tcMar>
            <w:vAlign w:val="center"/>
          </w:tcPr>
          <w:p>
            <w:pPr>
              <w:jc w:val="center"/>
              <w:rPr>
                <w:rFonts w:ascii="宋体" w:hAnsi="宋体"/>
                <w:szCs w:val="21"/>
              </w:rPr>
            </w:pPr>
          </w:p>
        </w:tc>
        <w:tc>
          <w:tcPr>
            <w:tcW w:w="1843" w:type="dxa"/>
            <w:vMerge w:val="restart"/>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1</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continue"/>
            <w:tcMar>
              <w:left w:w="108" w:type="dxa"/>
              <w:right w:w="108" w:type="dxa"/>
            </w:tcMar>
            <w:vAlign w:val="center"/>
          </w:tcPr>
          <w:p>
            <w:pPr>
              <w:jc w:val="center"/>
              <w:rPr>
                <w:rFonts w:ascii="宋体" w:hAnsi="宋体"/>
                <w:szCs w:val="21"/>
              </w:rPr>
            </w:pPr>
          </w:p>
        </w:tc>
        <w:tc>
          <w:tcPr>
            <w:tcW w:w="1843" w:type="dxa"/>
            <w:vMerge w:val="continue"/>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2</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continue"/>
            <w:tcMar>
              <w:left w:w="108" w:type="dxa"/>
              <w:right w:w="108" w:type="dxa"/>
            </w:tcMar>
            <w:vAlign w:val="center"/>
          </w:tcPr>
          <w:p>
            <w:pPr>
              <w:jc w:val="center"/>
              <w:rPr>
                <w:rFonts w:ascii="宋体" w:hAnsi="宋体"/>
                <w:szCs w:val="21"/>
              </w:rPr>
            </w:pPr>
          </w:p>
        </w:tc>
        <w:tc>
          <w:tcPr>
            <w:tcW w:w="1843" w:type="dxa"/>
            <w:vMerge w:val="continue"/>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3</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restart"/>
            <w:tcMar>
              <w:left w:w="108" w:type="dxa"/>
              <w:right w:w="108" w:type="dxa"/>
            </w:tcMar>
            <w:vAlign w:val="center"/>
          </w:tcPr>
          <w:p>
            <w:pPr>
              <w:jc w:val="center"/>
              <w:rPr>
                <w:rFonts w:ascii="宋体" w:hAnsi="宋体"/>
                <w:szCs w:val="21"/>
              </w:rPr>
            </w:pPr>
          </w:p>
        </w:tc>
        <w:tc>
          <w:tcPr>
            <w:tcW w:w="1843" w:type="dxa"/>
            <w:vMerge w:val="restart"/>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1</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continue"/>
            <w:tcMar>
              <w:left w:w="108" w:type="dxa"/>
              <w:right w:w="108" w:type="dxa"/>
            </w:tcMar>
            <w:vAlign w:val="center"/>
          </w:tcPr>
          <w:p>
            <w:pPr>
              <w:jc w:val="center"/>
              <w:rPr>
                <w:rFonts w:ascii="宋体" w:hAnsi="宋体"/>
                <w:szCs w:val="21"/>
              </w:rPr>
            </w:pPr>
          </w:p>
        </w:tc>
        <w:tc>
          <w:tcPr>
            <w:tcW w:w="1843" w:type="dxa"/>
            <w:vMerge w:val="continue"/>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2</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Merge w:val="continue"/>
            <w:tcMar>
              <w:left w:w="108" w:type="dxa"/>
              <w:right w:w="108" w:type="dxa"/>
            </w:tcMar>
            <w:vAlign w:val="center"/>
          </w:tcPr>
          <w:p>
            <w:pPr>
              <w:jc w:val="center"/>
              <w:rPr>
                <w:rFonts w:ascii="宋体" w:hAnsi="宋体"/>
                <w:szCs w:val="21"/>
              </w:rPr>
            </w:pPr>
          </w:p>
        </w:tc>
        <w:tc>
          <w:tcPr>
            <w:tcW w:w="1843" w:type="dxa"/>
            <w:vMerge w:val="continue"/>
            <w:tcMar>
              <w:left w:w="108" w:type="dxa"/>
              <w:right w:w="108" w:type="dxa"/>
            </w:tcMar>
            <w:vAlign w:val="center"/>
          </w:tcPr>
          <w:p>
            <w:pPr>
              <w:jc w:val="center"/>
              <w:rPr>
                <w:rFonts w:ascii="宋体" w:hAnsi="宋体"/>
                <w:szCs w:val="21"/>
              </w:rPr>
            </w:pPr>
          </w:p>
        </w:tc>
        <w:tc>
          <w:tcPr>
            <w:tcW w:w="751" w:type="dxa"/>
            <w:tcMar>
              <w:left w:w="108" w:type="dxa"/>
              <w:right w:w="108" w:type="dxa"/>
            </w:tcMar>
            <w:vAlign w:val="center"/>
          </w:tcPr>
          <w:p>
            <w:pPr>
              <w:jc w:val="center"/>
              <w:rPr>
                <w:rFonts w:ascii="黑体" w:hAnsi="宋体" w:eastAsia="黑体"/>
                <w:szCs w:val="21"/>
              </w:rPr>
            </w:pPr>
            <w:r>
              <w:rPr>
                <w:rFonts w:hint="eastAsia" w:ascii="黑体" w:hAnsi="宋体" w:eastAsia="黑体"/>
                <w:szCs w:val="21"/>
              </w:rPr>
              <w:t>3</w:t>
            </w:r>
          </w:p>
        </w:tc>
        <w:tc>
          <w:tcPr>
            <w:tcW w:w="950" w:type="dxa"/>
            <w:tcMar>
              <w:left w:w="108" w:type="dxa"/>
              <w:right w:w="108" w:type="dxa"/>
            </w:tcMar>
            <w:vAlign w:val="center"/>
          </w:tcPr>
          <w:p>
            <w:pPr>
              <w:jc w:val="center"/>
              <w:rPr>
                <w:rFonts w:ascii="宋体" w:hAnsi="宋体"/>
                <w:szCs w:val="21"/>
              </w:rPr>
            </w:pPr>
          </w:p>
        </w:tc>
        <w:tc>
          <w:tcPr>
            <w:tcW w:w="1123" w:type="dxa"/>
            <w:tcMar>
              <w:left w:w="108" w:type="dxa"/>
              <w:right w:w="108" w:type="dxa"/>
            </w:tcMar>
            <w:vAlign w:val="center"/>
          </w:tcPr>
          <w:p>
            <w:pPr>
              <w:jc w:val="center"/>
              <w:rPr>
                <w:rFonts w:ascii="宋体" w:hAnsi="宋体"/>
                <w:szCs w:val="21"/>
              </w:rPr>
            </w:pPr>
          </w:p>
        </w:tc>
        <w:tc>
          <w:tcPr>
            <w:tcW w:w="1090" w:type="dxa"/>
            <w:tcMar>
              <w:left w:w="108" w:type="dxa"/>
              <w:right w:w="108" w:type="dxa"/>
            </w:tcMar>
            <w:vAlign w:val="center"/>
          </w:tcPr>
          <w:p>
            <w:pPr>
              <w:jc w:val="center"/>
              <w:rPr>
                <w:rFonts w:ascii="宋体" w:hAnsi="宋体"/>
                <w:szCs w:val="21"/>
              </w:rPr>
            </w:pPr>
          </w:p>
        </w:tc>
        <w:tc>
          <w:tcPr>
            <w:tcW w:w="1197" w:type="dxa"/>
            <w:tcMar>
              <w:left w:w="108" w:type="dxa"/>
              <w:right w:w="108" w:type="dxa"/>
            </w:tcMar>
            <w:vAlign w:val="center"/>
          </w:tcPr>
          <w:p>
            <w:pPr>
              <w:jc w:val="center"/>
              <w:rPr>
                <w:rFonts w:ascii="宋体" w:hAnsi="宋体"/>
                <w:szCs w:val="21"/>
              </w:rPr>
            </w:pPr>
          </w:p>
        </w:tc>
        <w:tc>
          <w:tcPr>
            <w:tcW w:w="983" w:type="dxa"/>
            <w:tcMar>
              <w:left w:w="108" w:type="dxa"/>
              <w:right w:w="108" w:type="dxa"/>
            </w:tcMar>
            <w:vAlign w:val="center"/>
          </w:tcPr>
          <w:p>
            <w:pPr>
              <w:jc w:val="center"/>
              <w:rPr>
                <w:rFonts w:ascii="宋体" w:hAnsi="宋体"/>
                <w:szCs w:val="21"/>
              </w:rPr>
            </w:pPr>
          </w:p>
        </w:tc>
      </w:tr>
    </w:tbl>
    <w:p>
      <w:pPr>
        <w:spacing w:line="440" w:lineRule="exact"/>
        <w:ind w:right="420"/>
        <w:rPr>
          <w:rFonts w:ascii="宋体" w:hAnsi="宋体"/>
          <w:szCs w:val="21"/>
        </w:rPr>
      </w:pPr>
      <w:r>
        <w:rPr>
          <w:rFonts w:hint="eastAsia" w:ascii="黑体" w:hAnsi="宋体" w:eastAsia="黑体"/>
          <w:szCs w:val="21"/>
        </w:rPr>
        <w:t>备注：</w:t>
      </w:r>
      <w:r>
        <w:rPr>
          <w:rFonts w:hint="eastAsia" w:ascii="宋体" w:hAnsi="宋体"/>
          <w:szCs w:val="21"/>
        </w:rPr>
        <w:t>本表所列分包仅限于承包人自行施工范围内的非主体、非关键工程。</w:t>
      </w:r>
    </w:p>
    <w:p>
      <w:pPr>
        <w:wordWrap w:val="0"/>
        <w:spacing w:line="440" w:lineRule="exact"/>
        <w:ind w:right="420"/>
        <w:jc w:val="right"/>
        <w:rPr>
          <w:rFonts w:ascii="宋体" w:hAnsi="宋体"/>
          <w:szCs w:val="21"/>
        </w:rPr>
      </w:pPr>
      <w:r>
        <w:rPr>
          <w:rFonts w:hint="eastAsia" w:ascii="宋体" w:hAnsi="宋体"/>
          <w:szCs w:val="21"/>
        </w:rPr>
        <w:t xml:space="preserve">日    期：       年     月     日  </w:t>
      </w:r>
    </w:p>
    <w:p>
      <w:pPr>
        <w:spacing w:line="240" w:lineRule="exact"/>
        <w:jc w:val="left"/>
        <w:rPr>
          <w:rFonts w:ascii="宋体" w:hAnsi="宋体"/>
          <w:szCs w:val="21"/>
        </w:rPr>
      </w:pPr>
      <w:r>
        <w:rPr>
          <w:rFonts w:ascii="宋体" w:hAnsi="宋体"/>
          <w:szCs w:val="21"/>
        </w:rPr>
        <w:br w:type="page"/>
      </w:r>
    </w:p>
    <w:p>
      <w:pPr>
        <w:pStyle w:val="16"/>
        <w:outlineLvl w:val="9"/>
      </w:pPr>
      <w:r>
        <w:rPr>
          <w:rFonts w:hint="eastAsia"/>
        </w:rPr>
        <w:t>七、资格审查资料</w:t>
      </w:r>
    </w:p>
    <w:p>
      <w:pPr>
        <w:spacing w:afterLines="50" w:line="360" w:lineRule="exact"/>
        <w:rPr>
          <w:rStyle w:val="23"/>
          <w:b/>
        </w:rPr>
      </w:pPr>
      <w:r>
        <w:rPr>
          <w:rStyle w:val="23"/>
          <w:rFonts w:hint="eastAsia"/>
          <w:b/>
        </w:rPr>
        <w:t>（一）供应商基本情况表</w:t>
      </w:r>
    </w:p>
    <w:tbl>
      <w:tblPr>
        <w:tblStyle w:val="20"/>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供应商名称</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注册地址</w:t>
            </w:r>
          </w:p>
        </w:tc>
        <w:tc>
          <w:tcPr>
            <w:tcW w:w="3389" w:type="dxa"/>
            <w:gridSpan w:val="5"/>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邮政编码</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Merge w:val="restart"/>
            <w:vAlign w:val="center"/>
          </w:tcPr>
          <w:p>
            <w:pPr>
              <w:jc w:val="center"/>
              <w:rPr>
                <w:rFonts w:ascii="宋体" w:hAnsi="宋体"/>
                <w:szCs w:val="21"/>
              </w:rPr>
            </w:pPr>
            <w:r>
              <w:rPr>
                <w:rFonts w:hint="eastAsia" w:ascii="宋体" w:hAnsi="宋体"/>
                <w:szCs w:val="21"/>
              </w:rPr>
              <w:t>联系方式</w:t>
            </w:r>
          </w:p>
        </w:tc>
        <w:tc>
          <w:tcPr>
            <w:tcW w:w="897" w:type="dxa"/>
            <w:vAlign w:val="center"/>
          </w:tcPr>
          <w:p>
            <w:pPr>
              <w:jc w:val="center"/>
              <w:rPr>
                <w:rFonts w:ascii="宋体" w:hAnsi="宋体"/>
                <w:szCs w:val="21"/>
              </w:rPr>
            </w:pPr>
            <w:r>
              <w:rPr>
                <w:rFonts w:hint="eastAsia" w:ascii="宋体" w:hAnsi="宋体"/>
                <w:szCs w:val="21"/>
              </w:rPr>
              <w:t>联系人</w:t>
            </w:r>
          </w:p>
        </w:tc>
        <w:tc>
          <w:tcPr>
            <w:tcW w:w="2492" w:type="dxa"/>
            <w:gridSpan w:val="4"/>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电  话</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Merge w:val="continue"/>
            <w:vAlign w:val="center"/>
          </w:tcPr>
          <w:p>
            <w:pPr>
              <w:jc w:val="center"/>
              <w:rPr>
                <w:rFonts w:ascii="宋体" w:hAnsi="宋体"/>
                <w:szCs w:val="21"/>
              </w:rPr>
            </w:pPr>
          </w:p>
        </w:tc>
        <w:tc>
          <w:tcPr>
            <w:tcW w:w="897" w:type="dxa"/>
            <w:vAlign w:val="center"/>
          </w:tcPr>
          <w:p>
            <w:pPr>
              <w:jc w:val="center"/>
              <w:rPr>
                <w:rFonts w:ascii="宋体" w:hAnsi="宋体"/>
                <w:szCs w:val="21"/>
              </w:rPr>
            </w:pPr>
            <w:r>
              <w:rPr>
                <w:rFonts w:hint="eastAsia" w:ascii="宋体" w:hAnsi="宋体"/>
                <w:szCs w:val="21"/>
              </w:rPr>
              <w:t>传  真</w:t>
            </w:r>
          </w:p>
        </w:tc>
        <w:tc>
          <w:tcPr>
            <w:tcW w:w="2492" w:type="dxa"/>
            <w:gridSpan w:val="4"/>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网  址</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组织结构</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法定代表人</w:t>
            </w:r>
          </w:p>
        </w:tc>
        <w:tc>
          <w:tcPr>
            <w:tcW w:w="897" w:type="dxa"/>
            <w:vAlign w:val="center"/>
          </w:tcPr>
          <w:p>
            <w:pPr>
              <w:jc w:val="center"/>
              <w:rPr>
                <w:rFonts w:ascii="宋体" w:hAnsi="宋体"/>
                <w:szCs w:val="21"/>
              </w:rPr>
            </w:pPr>
            <w:r>
              <w:rPr>
                <w:rFonts w:hint="eastAsia" w:ascii="宋体" w:hAnsi="宋体"/>
                <w:szCs w:val="21"/>
              </w:rPr>
              <w:t>姓名</w:t>
            </w:r>
          </w:p>
        </w:tc>
        <w:tc>
          <w:tcPr>
            <w:tcW w:w="1021" w:type="dxa"/>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技术职称</w:t>
            </w:r>
          </w:p>
        </w:tc>
        <w:tc>
          <w:tcPr>
            <w:tcW w:w="1701" w:type="dxa"/>
            <w:gridSpan w:val="3"/>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电话</w:t>
            </w:r>
          </w:p>
        </w:tc>
        <w:tc>
          <w:tcPr>
            <w:tcW w:w="14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技术负责人</w:t>
            </w:r>
          </w:p>
        </w:tc>
        <w:tc>
          <w:tcPr>
            <w:tcW w:w="897" w:type="dxa"/>
            <w:vAlign w:val="center"/>
          </w:tcPr>
          <w:p>
            <w:pPr>
              <w:jc w:val="center"/>
              <w:rPr>
                <w:rFonts w:ascii="宋体" w:hAnsi="宋体"/>
                <w:szCs w:val="21"/>
              </w:rPr>
            </w:pPr>
            <w:r>
              <w:rPr>
                <w:rFonts w:hint="eastAsia" w:ascii="宋体" w:hAnsi="宋体"/>
                <w:szCs w:val="21"/>
              </w:rPr>
              <w:t>姓名</w:t>
            </w:r>
          </w:p>
        </w:tc>
        <w:tc>
          <w:tcPr>
            <w:tcW w:w="1021" w:type="dxa"/>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技术职称</w:t>
            </w:r>
          </w:p>
        </w:tc>
        <w:tc>
          <w:tcPr>
            <w:tcW w:w="1701" w:type="dxa"/>
            <w:gridSpan w:val="3"/>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电话</w:t>
            </w:r>
          </w:p>
        </w:tc>
        <w:tc>
          <w:tcPr>
            <w:tcW w:w="14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成立时间</w:t>
            </w:r>
          </w:p>
        </w:tc>
        <w:tc>
          <w:tcPr>
            <w:tcW w:w="1918" w:type="dxa"/>
            <w:gridSpan w:val="2"/>
            <w:vAlign w:val="center"/>
          </w:tcPr>
          <w:p>
            <w:pPr>
              <w:jc w:val="center"/>
              <w:rPr>
                <w:rFonts w:ascii="宋体" w:hAnsi="宋体"/>
                <w:szCs w:val="21"/>
              </w:rPr>
            </w:pPr>
          </w:p>
        </w:tc>
        <w:tc>
          <w:tcPr>
            <w:tcW w:w="5102" w:type="dxa"/>
            <w:gridSpan w:val="7"/>
            <w:vAlign w:val="center"/>
          </w:tcPr>
          <w:p>
            <w:pPr>
              <w:jc w:val="center"/>
              <w:rPr>
                <w:rFonts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企业资质等级</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restart"/>
            <w:vAlign w:val="center"/>
          </w:tcPr>
          <w:p>
            <w:pPr>
              <w:jc w:val="center"/>
              <w:rPr>
                <w:rFonts w:ascii="宋体" w:hAnsi="宋体"/>
                <w:szCs w:val="21"/>
              </w:rPr>
            </w:pPr>
            <w:r>
              <w:rPr>
                <w:rFonts w:hint="eastAsia" w:ascii="宋体" w:hAnsi="宋体"/>
                <w:szCs w:val="21"/>
              </w:rPr>
              <w:t>其中</w:t>
            </w:r>
          </w:p>
        </w:tc>
        <w:tc>
          <w:tcPr>
            <w:tcW w:w="1984" w:type="dxa"/>
            <w:gridSpan w:val="4"/>
            <w:vAlign w:val="center"/>
          </w:tcPr>
          <w:p>
            <w:pPr>
              <w:jc w:val="center"/>
              <w:rPr>
                <w:rFonts w:ascii="宋体" w:hAnsi="宋体"/>
                <w:szCs w:val="21"/>
              </w:rPr>
            </w:pPr>
            <w:r>
              <w:rPr>
                <w:rFonts w:hint="eastAsia" w:ascii="宋体" w:hAnsi="宋体"/>
                <w:szCs w:val="21"/>
              </w:rPr>
              <w:t>项目经理</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营业执照号</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高级职称人员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注册资金</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中级职称人员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开户银行</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初级职称人员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账号</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技  工</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经营范围</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5" w:type="dxa"/>
            <w:vAlign w:val="center"/>
          </w:tcPr>
          <w:p>
            <w:pPr>
              <w:jc w:val="center"/>
              <w:rPr>
                <w:rFonts w:ascii="宋体" w:hAnsi="宋体"/>
                <w:szCs w:val="21"/>
              </w:rPr>
            </w:pPr>
            <w:r>
              <w:rPr>
                <w:rFonts w:hint="eastAsia" w:ascii="宋体" w:hAnsi="宋体"/>
                <w:szCs w:val="21"/>
              </w:rPr>
              <w:t>备注</w:t>
            </w:r>
          </w:p>
        </w:tc>
        <w:tc>
          <w:tcPr>
            <w:tcW w:w="7020" w:type="dxa"/>
            <w:gridSpan w:val="9"/>
            <w:vAlign w:val="center"/>
          </w:tcPr>
          <w:p>
            <w:pPr>
              <w:jc w:val="center"/>
              <w:rPr>
                <w:rFonts w:ascii="宋体" w:hAnsi="宋体"/>
                <w:szCs w:val="21"/>
              </w:rPr>
            </w:pPr>
          </w:p>
        </w:tc>
      </w:tr>
    </w:tbl>
    <w:p>
      <w:pPr>
        <w:spacing w:line="360" w:lineRule="exact"/>
        <w:rPr>
          <w:rFonts w:ascii="宋体" w:hAnsi="宋体"/>
          <w:szCs w:val="21"/>
        </w:rPr>
      </w:pPr>
      <w:r>
        <w:rPr>
          <w:rFonts w:hint="eastAsia" w:ascii="黑体" w:hAnsi="宋体" w:eastAsia="黑体"/>
          <w:szCs w:val="21"/>
        </w:rPr>
        <w:t>备注：</w:t>
      </w:r>
      <w:r>
        <w:rPr>
          <w:rFonts w:hint="eastAsia" w:ascii="宋体" w:hAnsi="宋体"/>
          <w:szCs w:val="21"/>
        </w:rPr>
        <w:t>本表后应附企业法人营业执照及其年检合格的证明材料、企业资质证书副本、安全生产许可证等材料的复印件。</w:t>
      </w:r>
    </w:p>
    <w:p>
      <w:pPr>
        <w:spacing w:line="360" w:lineRule="exact"/>
        <w:rPr>
          <w:rStyle w:val="23"/>
        </w:rPr>
      </w:pPr>
    </w:p>
    <w:p>
      <w:pPr>
        <w:spacing w:line="600" w:lineRule="exact"/>
        <w:rPr>
          <w:rStyle w:val="23"/>
          <w:rFonts w:ascii="宋体" w:hAnsi="宋体"/>
          <w:b/>
          <w:szCs w:val="21"/>
        </w:rPr>
      </w:pPr>
      <w:r>
        <w:rPr>
          <w:rStyle w:val="23"/>
          <w:rFonts w:hint="eastAsia"/>
          <w:b/>
        </w:rPr>
        <w:t>（二）主要项目管理人员简历表</w:t>
      </w:r>
    </w:p>
    <w:p>
      <w:pPr>
        <w:spacing w:line="360" w:lineRule="exact"/>
        <w:rPr>
          <w:rFonts w:ascii="宋体" w:hAnsi="宋体"/>
          <w:szCs w:val="21"/>
        </w:rPr>
      </w:pPr>
      <w:r>
        <w:rPr>
          <w:rFonts w:hint="eastAsia" w:ascii="黑体" w:hAnsi="宋体" w:eastAsia="黑体"/>
          <w:szCs w:val="21"/>
        </w:rPr>
        <w:t>说明：</w:t>
      </w:r>
      <w:r>
        <w:rPr>
          <w:rFonts w:hint="eastAsia" w:ascii="宋体" w:hAnsi="宋体"/>
          <w:szCs w:val="21"/>
        </w:rPr>
        <w:t>“主要人员简历表”同本章附件七之（二）。本章“项目管理机构”已有本表内容的，无需重复提交。</w:t>
      </w:r>
    </w:p>
    <w:p>
      <w:pPr>
        <w:spacing w:line="360" w:lineRule="exact"/>
        <w:rPr>
          <w:rFonts w:ascii="宋体" w:hAnsi="宋体"/>
          <w:szCs w:val="21"/>
        </w:rPr>
      </w:pPr>
    </w:p>
    <w:p>
      <w:pPr>
        <w:spacing w:line="360" w:lineRule="exact"/>
        <w:rPr>
          <w:rFonts w:ascii="宋体" w:hAnsi="宋体"/>
          <w:szCs w:val="21"/>
        </w:rPr>
      </w:pPr>
    </w:p>
    <w:p>
      <w:pPr>
        <w:pStyle w:val="16"/>
        <w:numPr>
          <w:ilvl w:val="0"/>
          <w:numId w:val="5"/>
        </w:numPr>
        <w:outlineLvl w:val="9"/>
      </w:pPr>
      <w:r>
        <w:rPr>
          <w:rFonts w:hint="eastAsia"/>
        </w:rPr>
        <w:t>其他材料</w:t>
      </w:r>
    </w:p>
    <w:p/>
    <w:p/>
    <w:p>
      <w:pPr>
        <w:jc w:val="center"/>
        <w:rPr>
          <w:b/>
          <w:szCs w:val="30"/>
        </w:rPr>
      </w:pPr>
    </w:p>
    <w:p>
      <w:pPr>
        <w:jc w:val="center"/>
        <w:rPr>
          <w:b/>
          <w:szCs w:val="30"/>
        </w:rPr>
      </w:pPr>
    </w:p>
    <w:p>
      <w:pPr>
        <w:jc w:val="center"/>
        <w:rPr>
          <w:b/>
          <w:szCs w:val="30"/>
        </w:rPr>
      </w:pPr>
    </w:p>
    <w:p>
      <w:pPr>
        <w:jc w:val="center"/>
      </w:pPr>
      <w:r>
        <w:rPr>
          <w:rFonts w:hint="eastAsia"/>
          <w:b/>
          <w:szCs w:val="30"/>
        </w:rPr>
        <w:t>履约保证金保函</w:t>
      </w:r>
    </w:p>
    <w:p>
      <w:pPr>
        <w:spacing w:line="400" w:lineRule="atLeast"/>
      </w:pPr>
      <w:r>
        <w:t xml:space="preserve">                            </w:t>
      </w:r>
    </w:p>
    <w:p>
      <w:pPr>
        <w:spacing w:line="400" w:lineRule="atLeast"/>
        <w:rPr>
          <w:rFonts w:ascii="宋体" w:hAnsi="宋体" w:cs="宋体"/>
          <w:szCs w:val="21"/>
        </w:rPr>
      </w:pPr>
      <w:r>
        <w:rPr>
          <w:rFonts w:hint="eastAsia" w:ascii="宋体" w:hAnsi="宋体" w:cs="宋体"/>
          <w:szCs w:val="21"/>
        </w:rPr>
        <w:t>开证日期：</w:t>
      </w:r>
      <w:r>
        <w:rPr>
          <w:rFonts w:hint="eastAsia" w:ascii="宋体" w:hAnsi="宋体" w:cs="宋体"/>
          <w:szCs w:val="21"/>
          <w:u w:val="single"/>
        </w:rPr>
        <w:t xml:space="preserve">                      </w:t>
      </w:r>
    </w:p>
    <w:p>
      <w:pPr>
        <w:spacing w:line="400" w:lineRule="atLeast"/>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p>
    <w:p>
      <w:pPr>
        <w:spacing w:line="400" w:lineRule="atLeast"/>
        <w:rPr>
          <w:rFonts w:ascii="宋体" w:hAnsi="宋体" w:cs="宋体"/>
          <w:szCs w:val="21"/>
        </w:rPr>
      </w:pPr>
    </w:p>
    <w:p>
      <w:pPr>
        <w:spacing w:line="400" w:lineRule="atLeas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 xml:space="preserve"> 号合同履约保证金</w:t>
      </w:r>
    </w:p>
    <w:p>
      <w:pPr>
        <w:spacing w:line="400" w:lineRule="atLeast"/>
        <w:rPr>
          <w:rFonts w:ascii="宋体" w:hAnsi="宋体" w:cs="宋体"/>
          <w:szCs w:val="21"/>
        </w:rPr>
      </w:pPr>
    </w:p>
    <w:p>
      <w:pPr>
        <w:spacing w:line="400" w:lineRule="atLeast"/>
        <w:rPr>
          <w:rFonts w:ascii="宋体" w:hAnsi="宋体" w:cs="宋体"/>
          <w:szCs w:val="21"/>
          <w:u w:val="single"/>
        </w:rPr>
      </w:pPr>
      <w:r>
        <w:rPr>
          <w:rFonts w:hint="eastAsia" w:ascii="宋体" w:hAnsi="宋体" w:cs="宋体"/>
          <w:szCs w:val="21"/>
        </w:rPr>
        <w:tab/>
      </w:r>
      <w:r>
        <w:rPr>
          <w:rFonts w:hint="eastAsia" w:ascii="宋体" w:hAnsi="宋体" w:cs="宋体"/>
          <w:szCs w:val="21"/>
        </w:rPr>
        <w:t>本保函作为贵方与</w:t>
      </w:r>
      <w:r>
        <w:rPr>
          <w:rFonts w:hint="eastAsia" w:ascii="宋体" w:hAnsi="宋体" w:cs="宋体"/>
          <w:szCs w:val="21"/>
          <w:u w:val="single"/>
        </w:rPr>
        <w:t xml:space="preserve">            </w:t>
      </w:r>
      <w:r>
        <w:rPr>
          <w:rFonts w:hint="eastAsia" w:ascii="宋体" w:hAnsi="宋体" w:cs="宋体"/>
          <w:szCs w:val="21"/>
        </w:rPr>
        <w:t>（以下简称卖方）于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日就</w:t>
      </w:r>
      <w:r>
        <w:rPr>
          <w:rFonts w:hint="eastAsia" w:ascii="宋体" w:hAnsi="宋体" w:cs="宋体"/>
          <w:szCs w:val="21"/>
          <w:u w:val="single"/>
        </w:rPr>
        <w:t xml:space="preserve">      </w:t>
      </w:r>
      <w:r>
        <w:rPr>
          <w:rFonts w:hint="eastAsia" w:ascii="宋体" w:hAnsi="宋体" w:cs="宋体"/>
          <w:szCs w:val="21"/>
        </w:rPr>
        <w:t>以下简称项目）项下提供</w:t>
      </w:r>
      <w:r>
        <w:rPr>
          <w:rFonts w:hint="eastAsia" w:ascii="宋体" w:hAnsi="宋体" w:cs="宋体"/>
          <w:szCs w:val="21"/>
          <w:u w:val="single"/>
        </w:rPr>
        <w:t xml:space="preserve">                     </w:t>
      </w:r>
      <w:r>
        <w:rPr>
          <w:rFonts w:hint="eastAsia" w:ascii="宋体" w:hAnsi="宋体" w:cs="宋体"/>
          <w:szCs w:val="21"/>
        </w:rPr>
        <w:t>货物（以下简称货物）签订的</w:t>
      </w:r>
      <w:r>
        <w:rPr>
          <w:rFonts w:hint="eastAsia" w:ascii="宋体" w:hAnsi="宋体" w:cs="宋体"/>
          <w:szCs w:val="21"/>
          <w:u w:val="single"/>
        </w:rPr>
        <w:t xml:space="preserve">         </w:t>
      </w:r>
      <w:r>
        <w:rPr>
          <w:rFonts w:hint="eastAsia" w:ascii="宋体" w:hAnsi="宋体" w:cs="宋体"/>
          <w:szCs w:val="21"/>
        </w:rPr>
        <w:t>号合同的履约保证金。</w:t>
      </w:r>
    </w:p>
    <w:p>
      <w:pPr>
        <w:spacing w:line="400" w:lineRule="atLeast"/>
        <w:rPr>
          <w:rFonts w:ascii="宋体" w:hAnsi="宋体" w:cs="宋体"/>
          <w:szCs w:val="21"/>
        </w:rPr>
      </w:pPr>
      <w:r>
        <w:rPr>
          <w:rFonts w:hint="eastAsia" w:ascii="宋体" w:hAnsi="宋体" w:cs="宋体"/>
          <w:szCs w:val="21"/>
        </w:rPr>
        <w:tab/>
      </w:r>
      <w:r>
        <w:rPr>
          <w:rFonts w:hint="eastAsia" w:ascii="宋体" w:hAnsi="宋体" w:cs="宋体"/>
          <w:szCs w:val="21"/>
          <w:u w:val="single"/>
        </w:rPr>
        <w:t xml:space="preserve">                         </w:t>
      </w:r>
      <w:r>
        <w:rPr>
          <w:rFonts w:hint="eastAsia" w:ascii="宋体" w:hAnsi="宋体" w:cs="宋体"/>
          <w:szCs w:val="21"/>
        </w:rPr>
        <w:t>银行（以下简称银行）无条件地、不可撤销地具结保证本行、其继承人和受让人无追索地向贵方以人民币支付总额不超过</w:t>
      </w:r>
      <w:r>
        <w:rPr>
          <w:rFonts w:hint="eastAsia" w:ascii="宋体" w:hAnsi="宋体" w:cs="宋体"/>
          <w:szCs w:val="21"/>
          <w:u w:val="single"/>
        </w:rPr>
        <w:t xml:space="preserve">                   </w:t>
      </w:r>
      <w:r>
        <w:rPr>
          <w:rFonts w:hint="eastAsia" w:ascii="宋体" w:hAnsi="宋体" w:cs="宋体"/>
          <w:szCs w:val="21"/>
        </w:rPr>
        <w:t>（货币数量，大写），即相当于合同价格的</w:t>
      </w:r>
      <w:r>
        <w:rPr>
          <w:rFonts w:hint="eastAsia" w:ascii="宋体" w:hAnsi="宋体" w:cs="宋体"/>
          <w:szCs w:val="21"/>
          <w:u w:val="single"/>
        </w:rPr>
        <w:t>10</w:t>
      </w:r>
      <w:r>
        <w:rPr>
          <w:rFonts w:hint="eastAsia" w:ascii="宋体" w:hAnsi="宋体" w:cs="宋体"/>
          <w:szCs w:val="21"/>
        </w:rPr>
        <w:t>%。</w:t>
      </w:r>
    </w:p>
    <w:p>
      <w:pPr>
        <w:spacing w:line="400" w:lineRule="atLeast"/>
        <w:rPr>
          <w:rFonts w:ascii="宋体" w:hAnsi="宋体" w:cs="宋体"/>
          <w:szCs w:val="21"/>
        </w:rPr>
      </w:pPr>
      <w:r>
        <w:rPr>
          <w:rFonts w:hint="eastAsia" w:ascii="宋体" w:hAnsi="宋体" w:cs="宋体"/>
          <w:szCs w:val="21"/>
        </w:rPr>
        <w:tab/>
      </w:r>
      <w:r>
        <w:rPr>
          <w:rFonts w:hint="eastAsia" w:ascii="宋体" w:hAnsi="宋体" w:cs="宋体"/>
          <w:szCs w:val="21"/>
        </w:rPr>
        <w:t>并以此约定如下：</w:t>
      </w:r>
    </w:p>
    <w:p>
      <w:pPr>
        <w:spacing w:line="400" w:lineRule="atLeast"/>
        <w:rPr>
          <w:rFonts w:ascii="宋体" w:hAnsi="宋体" w:cs="宋体"/>
          <w:szCs w:val="21"/>
        </w:rPr>
      </w:pPr>
      <w:r>
        <w:rPr>
          <w:rFonts w:hint="eastAsia" w:ascii="宋体" w:hAnsi="宋体" w:cs="宋体"/>
          <w:szCs w:val="21"/>
        </w:rPr>
        <w:tab/>
      </w:r>
      <w:r>
        <w:rPr>
          <w:rFonts w:hint="eastAsia" w:ascii="宋体" w:hAnsi="宋体" w:cs="宋体"/>
          <w:szCs w:val="21"/>
        </w:rPr>
        <w:t>a．卖方未能忠实地履行所有合同文件的规定和双方此后一致同意的修改、补充和变动，包括更换或修补贵方认为有缺陷的货物（以下简称违约），只要贵方确定，无论卖方有任何反对，本行将凭贵方的书面违约通知，立即按贵方提出的不超过上述累计总额的金额和按该通知中规定的方式付给贵方。</w:t>
      </w:r>
    </w:p>
    <w:p>
      <w:pPr>
        <w:spacing w:line="400" w:lineRule="atLeast"/>
        <w:rPr>
          <w:rFonts w:ascii="宋体" w:hAnsi="宋体" w:cs="宋体"/>
          <w:szCs w:val="21"/>
        </w:rPr>
      </w:pPr>
      <w:r>
        <w:rPr>
          <w:rFonts w:hint="eastAsia" w:ascii="宋体" w:hAnsi="宋体" w:cs="宋体"/>
          <w:szCs w:val="21"/>
        </w:rPr>
        <w:tab/>
      </w:r>
      <w:r>
        <w:rPr>
          <w:rFonts w:hint="eastAsia" w:ascii="宋体" w:hAnsi="宋体" w:cs="宋体"/>
          <w:szCs w:val="21"/>
        </w:rPr>
        <w:t>b．本保证金项下的任何支付应为免税和净值，无论任何人以何种理由提出扣减现有或未来的税费、关税、费用或扣款，均不能从本保证金中扣除。</w:t>
      </w:r>
    </w:p>
    <w:p>
      <w:pPr>
        <w:spacing w:line="400" w:lineRule="atLeast"/>
        <w:rPr>
          <w:rFonts w:ascii="宋体" w:hAnsi="宋体" w:cs="宋体"/>
          <w:szCs w:val="21"/>
        </w:rPr>
      </w:pPr>
      <w:r>
        <w:rPr>
          <w:rFonts w:hint="eastAsia" w:ascii="宋体" w:hAnsi="宋体" w:cs="宋体"/>
          <w:szCs w:val="21"/>
        </w:rPr>
        <w:tab/>
      </w:r>
      <w:r>
        <w:rPr>
          <w:rFonts w:hint="eastAsia" w:ascii="宋体" w:hAnsi="宋体" w:cs="宋体"/>
          <w:szCs w:val="21"/>
        </w:rPr>
        <w:t>c．本保证函的规定构成本行无条件的、不可撤销的直接义务。今后任何对合同条款的修改、贵方在时间上的通融、其他宽容、让步或由贵方采取的除了本款以外都适用的可能免除本行责任的任何删除或其他行为，均不能解除或免除本行在本保证函项下的责任。</w:t>
      </w:r>
    </w:p>
    <w:p>
      <w:pPr>
        <w:spacing w:line="400" w:lineRule="atLeast"/>
        <w:rPr>
          <w:rFonts w:ascii="宋体" w:hAnsi="宋体" w:cs="宋体"/>
          <w:szCs w:val="21"/>
        </w:rPr>
      </w:pPr>
      <w:r>
        <w:rPr>
          <w:rFonts w:hint="eastAsia" w:ascii="宋体" w:hAnsi="宋体" w:cs="宋体"/>
          <w:szCs w:val="21"/>
        </w:rPr>
        <w:tab/>
      </w:r>
      <w:r>
        <w:rPr>
          <w:rFonts w:hint="eastAsia" w:ascii="宋体" w:hAnsi="宋体" w:cs="宋体"/>
          <w:szCs w:val="21"/>
        </w:rPr>
        <w:t>d．本保证函在本合同规定的质量保证期期满前完全有效。</w:t>
      </w:r>
    </w:p>
    <w:p>
      <w:pPr>
        <w:spacing w:line="400" w:lineRule="atLeast"/>
        <w:rPr>
          <w:rFonts w:ascii="宋体" w:hAnsi="宋体" w:cs="宋体"/>
          <w:szCs w:val="21"/>
        </w:rPr>
      </w:pPr>
    </w:p>
    <w:p>
      <w:pPr>
        <w:spacing w:line="400" w:lineRule="atLeast"/>
        <w:rPr>
          <w:rFonts w:ascii="宋体" w:hAnsi="宋体" w:cs="宋体"/>
          <w:szCs w:val="21"/>
        </w:rPr>
      </w:pPr>
      <w:r>
        <w:rPr>
          <w:rFonts w:hint="eastAsia" w:ascii="宋体" w:hAnsi="宋体" w:cs="宋体"/>
          <w:szCs w:val="21"/>
        </w:rPr>
        <w:t>谨启</w:t>
      </w:r>
    </w:p>
    <w:p>
      <w:pPr>
        <w:spacing w:line="400" w:lineRule="atLeast"/>
        <w:rPr>
          <w:rFonts w:ascii="宋体" w:hAnsi="宋体" w:cs="宋体"/>
          <w:szCs w:val="21"/>
          <w:u w:val="single"/>
        </w:rPr>
      </w:pPr>
      <w:r>
        <w:rPr>
          <w:rFonts w:hint="eastAsia" w:ascii="宋体" w:hAnsi="宋体" w:cs="宋体"/>
          <w:szCs w:val="21"/>
        </w:rPr>
        <w:t>出证行名称：</w:t>
      </w:r>
      <w:r>
        <w:rPr>
          <w:rFonts w:hint="eastAsia" w:ascii="宋体" w:hAnsi="宋体" w:cs="宋体"/>
          <w:szCs w:val="21"/>
          <w:u w:val="single"/>
        </w:rPr>
        <w:t xml:space="preserve">                              </w:t>
      </w:r>
    </w:p>
    <w:p>
      <w:pPr>
        <w:spacing w:line="400" w:lineRule="atLeast"/>
        <w:rPr>
          <w:rFonts w:ascii="宋体" w:hAnsi="宋体" w:cs="宋体"/>
          <w:szCs w:val="21"/>
        </w:rPr>
      </w:pPr>
      <w:r>
        <w:rPr>
          <w:rFonts w:hint="eastAsia" w:ascii="宋体" w:hAnsi="宋体" w:cs="宋体"/>
          <w:szCs w:val="21"/>
        </w:rPr>
        <w:t>签字：</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（印刷姓名和职务公章）</w:t>
      </w:r>
    </w:p>
    <w:p>
      <w:pPr>
        <w:rPr>
          <w:rFonts w:ascii="宋体" w:hAnsi="宋体" w:cs="宋体"/>
          <w:sz w:val="24"/>
          <w:szCs w:val="16"/>
        </w:rPr>
      </w:pPr>
    </w:p>
    <w:p>
      <w:pPr>
        <w:rPr>
          <w:rFonts w:ascii="宋体" w:hAnsi="宋体" w:cs="宋体"/>
          <w:sz w:val="24"/>
          <w:szCs w:val="16"/>
        </w:rPr>
      </w:pPr>
    </w:p>
    <w:p>
      <w:pPr>
        <w:rPr>
          <w:rFonts w:ascii="宋体" w:hAnsi="宋体" w:cs="宋体"/>
          <w:sz w:val="24"/>
          <w:szCs w:val="16"/>
        </w:rPr>
      </w:pPr>
    </w:p>
    <w:p>
      <w:pPr>
        <w:rPr>
          <w:rFonts w:ascii="宋体" w:hAnsi="宋体" w:cs="宋体"/>
          <w:sz w:val="24"/>
          <w:szCs w:val="16"/>
        </w:rPr>
      </w:pPr>
    </w:p>
    <w:p>
      <w:pPr>
        <w:rPr>
          <w:rFonts w:ascii="宋体" w:hAnsi="宋体" w:cs="宋体"/>
          <w:sz w:val="24"/>
          <w:szCs w:val="16"/>
        </w:rPr>
      </w:pPr>
    </w:p>
    <w:p>
      <w:pPr>
        <w:pStyle w:val="9"/>
        <w:rPr>
          <w:rFonts w:ascii="宋体" w:hAnsi="宋体" w:cs="宋体"/>
          <w:sz w:val="24"/>
          <w:szCs w:val="16"/>
        </w:rPr>
      </w:pPr>
    </w:p>
    <w:p>
      <w:pPr>
        <w:pStyle w:val="9"/>
        <w:rPr>
          <w:rFonts w:ascii="宋体" w:hAnsi="宋体" w:cs="宋体"/>
          <w:sz w:val="24"/>
          <w:szCs w:val="16"/>
        </w:rPr>
      </w:pPr>
    </w:p>
    <w:p>
      <w:pPr>
        <w:rPr>
          <w:rFonts w:ascii="宋体" w:hAnsi="宋体" w:cs="宋体"/>
          <w:sz w:val="24"/>
          <w:szCs w:val="16"/>
        </w:rPr>
      </w:pPr>
    </w:p>
    <w:p>
      <w:pPr>
        <w:jc w:val="center"/>
        <w:rPr>
          <w:rFonts w:ascii="宋体" w:hAnsi="宋体"/>
          <w:b/>
          <w:sz w:val="24"/>
        </w:rPr>
      </w:pPr>
      <w:r>
        <w:rPr>
          <w:rFonts w:hint="eastAsia" w:ascii="宋体" w:hAnsi="宋体"/>
          <w:b/>
          <w:sz w:val="24"/>
        </w:rPr>
        <w:t>无异议函</w:t>
      </w:r>
    </w:p>
    <w:p>
      <w:pPr>
        <w:jc w:val="center"/>
        <w:rPr>
          <w:rFonts w:ascii="宋体" w:hAnsi="宋体"/>
          <w:b/>
          <w:sz w:val="24"/>
        </w:rPr>
      </w:pPr>
    </w:p>
    <w:p>
      <w:pPr>
        <w:jc w:val="center"/>
        <w:rPr>
          <w:rFonts w:ascii="宋体" w:hAnsi="宋体"/>
          <w:b/>
          <w:sz w:val="24"/>
        </w:rPr>
      </w:pPr>
    </w:p>
    <w:p>
      <w:pPr>
        <w:jc w:val="center"/>
        <w:rPr>
          <w:rFonts w:ascii="宋体" w:hAnsi="宋体"/>
          <w:b/>
          <w:sz w:val="48"/>
          <w:szCs w:val="48"/>
        </w:rPr>
      </w:pPr>
    </w:p>
    <w:p>
      <w:pPr>
        <w:snapToGrid w:val="0"/>
        <w:spacing w:line="360" w:lineRule="auto"/>
        <w:rPr>
          <w:rFonts w:ascii="宋体" w:hAnsi="宋体" w:cs="宋体"/>
          <w:szCs w:val="21"/>
        </w:rPr>
      </w:pPr>
      <w:r>
        <w:rPr>
          <w:rFonts w:hint="eastAsia" w:ascii="宋体" w:hAnsi="宋体"/>
          <w:szCs w:val="21"/>
        </w:rPr>
        <w:t>致：</w:t>
      </w:r>
      <w:r>
        <w:rPr>
          <w:rFonts w:hint="eastAsia" w:ascii="宋体" w:hAnsi="宋体" w:cs="宋体"/>
          <w:szCs w:val="21"/>
        </w:rPr>
        <w:t xml:space="preserve">  </w:t>
      </w:r>
    </w:p>
    <w:p>
      <w:pPr>
        <w:snapToGrid w:val="0"/>
        <w:spacing w:line="360" w:lineRule="auto"/>
        <w:rPr>
          <w:rFonts w:ascii="宋体" w:hAnsi="宋体"/>
          <w:szCs w:val="21"/>
          <w:highlight w:val="yellow"/>
        </w:rPr>
      </w:pPr>
    </w:p>
    <w:p>
      <w:pPr>
        <w:spacing w:line="360" w:lineRule="auto"/>
        <w:ind w:left="420" w:firstLine="420"/>
        <w:rPr>
          <w:rFonts w:ascii="宋体" w:hAnsi="宋体"/>
          <w:szCs w:val="21"/>
        </w:rPr>
      </w:pPr>
      <w:r>
        <w:rPr>
          <w:rFonts w:hint="eastAsia" w:ascii="宋体" w:hAnsi="宋体"/>
          <w:szCs w:val="21"/>
        </w:rPr>
        <w:t>我公司参与</w:t>
      </w:r>
      <w:r>
        <w:rPr>
          <w:rFonts w:hint="eastAsia" w:ascii="宋体" w:hAnsi="宋体"/>
          <w:szCs w:val="21"/>
          <w:u w:val="single"/>
        </w:rPr>
        <w:t xml:space="preserve">                     </w:t>
      </w:r>
      <w:r>
        <w:rPr>
          <w:rFonts w:hint="eastAsia" w:ascii="宋体" w:hAnsi="宋体"/>
          <w:szCs w:val="21"/>
        </w:rPr>
        <w:t>项目磋商（招标编号为</w:t>
      </w:r>
      <w:r>
        <w:rPr>
          <w:rFonts w:hint="eastAsia" w:ascii="宋体" w:hAnsi="宋体"/>
          <w:szCs w:val="21"/>
          <w:u w:val="single"/>
        </w:rPr>
        <w:t xml:space="preserve">         </w:t>
      </w:r>
      <w:r>
        <w:rPr>
          <w:rFonts w:hint="eastAsia" w:ascii="宋体" w:hAnsi="宋体"/>
          <w:szCs w:val="21"/>
        </w:rPr>
        <w:t>），对本磋商文件无疑点及异议。</w:t>
      </w:r>
    </w:p>
    <w:p>
      <w:pPr>
        <w:spacing w:line="360" w:lineRule="auto"/>
        <w:ind w:left="420" w:firstLine="420"/>
        <w:rPr>
          <w:rFonts w:ascii="宋体" w:hAnsi="宋体"/>
          <w:szCs w:val="21"/>
        </w:rPr>
      </w:pPr>
      <w:r>
        <w:rPr>
          <w:rFonts w:hint="eastAsia" w:ascii="宋体" w:hAnsi="宋体"/>
          <w:szCs w:val="21"/>
        </w:rPr>
        <w:t>据此函，签字代表宣布同意如下：</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公司仔细阅读了本项目磋商文件（包括补充文件，以下同）所有条款，认为本磋商文件要求明确，同时未存在以不合理条件限制、排斥潜在供应商或者供应商的倾向性、排他性条款。本公司对本磋商文件所有条款没有疑点及异议、</w:t>
      </w:r>
      <w:r>
        <w:rPr>
          <w:rFonts w:ascii="宋体" w:hAnsi="宋体"/>
          <w:szCs w:val="21"/>
        </w:rPr>
        <w:t>不存在其它需补充的条款</w:t>
      </w:r>
      <w:r>
        <w:rPr>
          <w:rFonts w:hint="eastAsia" w:ascii="宋体" w:hAnsi="宋体"/>
          <w:szCs w:val="21"/>
        </w:rPr>
        <w:t>，</w:t>
      </w:r>
      <w:r>
        <w:rPr>
          <w:rFonts w:ascii="宋体" w:hAnsi="宋体"/>
          <w:szCs w:val="21"/>
        </w:rPr>
        <w:t>并不会针对</w:t>
      </w:r>
      <w:r>
        <w:rPr>
          <w:rFonts w:hint="eastAsia" w:ascii="宋体" w:hAnsi="宋体"/>
          <w:szCs w:val="21"/>
        </w:rPr>
        <w:t>磋商文件提出质疑或投诉。</w:t>
      </w:r>
    </w:p>
    <w:p>
      <w:pPr>
        <w:spacing w:line="360" w:lineRule="auto"/>
        <w:rPr>
          <w:rFonts w:ascii="宋体" w:hAnsi="宋体"/>
          <w:b/>
          <w:szCs w:val="21"/>
        </w:rPr>
      </w:pPr>
    </w:p>
    <w:p>
      <w:pPr>
        <w:snapToGrid w:val="0"/>
        <w:spacing w:line="360" w:lineRule="auto"/>
        <w:rPr>
          <w:rFonts w:ascii="宋体" w:hAnsi="宋体"/>
          <w:szCs w:val="21"/>
        </w:rPr>
      </w:pPr>
      <w:r>
        <w:rPr>
          <w:rFonts w:hint="eastAsia" w:ascii="宋体" w:hAnsi="宋体"/>
          <w:szCs w:val="21"/>
        </w:rPr>
        <w:t>供应商授权代表</w:t>
      </w:r>
      <w:r>
        <w:rPr>
          <w:rFonts w:hint="eastAsia" w:ascii="宋体" w:hAnsi="宋体" w:cs="宋体"/>
          <w:kern w:val="0"/>
          <w:szCs w:val="21"/>
        </w:rPr>
        <w:t>签字</w:t>
      </w:r>
      <w:r>
        <w:rPr>
          <w:rFonts w:hint="eastAsia" w:ascii="宋体" w:hAnsi="宋体"/>
          <w:szCs w:val="21"/>
        </w:rPr>
        <w:t>：</w:t>
      </w:r>
    </w:p>
    <w:p>
      <w:pPr>
        <w:snapToGrid w:val="0"/>
        <w:spacing w:line="360" w:lineRule="auto"/>
        <w:rPr>
          <w:rFonts w:ascii="宋体" w:hAnsi="宋体"/>
          <w:szCs w:val="21"/>
        </w:rPr>
      </w:pPr>
      <w:r>
        <w:rPr>
          <w:rFonts w:hint="eastAsia" w:ascii="宋体" w:hAnsi="宋体"/>
          <w:szCs w:val="21"/>
        </w:rPr>
        <w:t>供应商（公章）：</w:t>
      </w:r>
    </w:p>
    <w:p>
      <w:pPr>
        <w:snapToGrid w:val="0"/>
        <w:spacing w:line="360" w:lineRule="auto"/>
        <w:rPr>
          <w:rFonts w:ascii="宋体" w:hAnsi="宋体"/>
          <w:szCs w:val="21"/>
        </w:rPr>
      </w:pPr>
      <w:r>
        <w:rPr>
          <w:rFonts w:hint="eastAsia" w:ascii="宋体" w:hAnsi="宋体"/>
          <w:szCs w:val="21"/>
        </w:rPr>
        <w:t>日期：     年     月     日</w:t>
      </w:r>
    </w:p>
    <w:p>
      <w:pPr>
        <w:rPr>
          <w:rFonts w:ascii="宋体" w:hAnsi="宋体" w:cs="宋体"/>
          <w:sz w:val="24"/>
          <w:szCs w:val="16"/>
        </w:rPr>
      </w:pPr>
    </w:p>
    <w:p/>
    <w:p>
      <w:pPr>
        <w:rPr>
          <w:sz w:val="28"/>
          <w:szCs w:val="28"/>
        </w:rPr>
      </w:pPr>
      <w:r>
        <w:rPr>
          <w:rFonts w:hint="eastAsia"/>
          <w:sz w:val="28"/>
          <w:szCs w:val="28"/>
        </w:rPr>
        <w:br w:type="page"/>
      </w:r>
    </w:p>
    <w:p>
      <w:pPr>
        <w:widowControl/>
        <w:jc w:val="left"/>
        <w:rPr>
          <w:sz w:val="28"/>
          <w:szCs w:val="28"/>
        </w:rPr>
      </w:pPr>
      <w:r>
        <w:rPr>
          <w:rFonts w:hint="eastAsia"/>
          <w:sz w:val="28"/>
          <w:szCs w:val="28"/>
        </w:rPr>
        <w:t>供应商未有不符合国家或者采购文件规定的资格条件的承诺</w:t>
      </w:r>
    </w:p>
    <w:p>
      <w:pPr>
        <w:spacing w:line="360" w:lineRule="auto"/>
      </w:pPr>
    </w:p>
    <w:p>
      <w:pPr>
        <w:spacing w:line="360" w:lineRule="auto"/>
        <w:rPr>
          <w:rFonts w:ascii="宋体" w:hAnsi="宋体" w:cs="宋体"/>
          <w:szCs w:val="21"/>
        </w:rPr>
      </w:pPr>
      <w:r>
        <w:rPr>
          <w:rFonts w:hint="eastAsia" w:ascii="宋体" w:hAnsi="宋体" w:cs="宋体"/>
          <w:szCs w:val="21"/>
        </w:rPr>
        <w:t>我公司郑重承诺，我司不存在以下情况：</w:t>
      </w:r>
    </w:p>
    <w:p>
      <w:pPr>
        <w:spacing w:line="360" w:lineRule="auto"/>
        <w:rPr>
          <w:rFonts w:ascii="宋体" w:hAnsi="宋体" w:cs="宋体"/>
          <w:szCs w:val="21"/>
        </w:rPr>
      </w:pPr>
      <w:r>
        <w:rPr>
          <w:rFonts w:hint="eastAsia" w:ascii="宋体" w:hAnsi="宋体" w:cs="宋体"/>
          <w:szCs w:val="21"/>
        </w:rPr>
        <w:t xml:space="preserve">1、为采购人不具有独立法人资格的附属机构（单位）； </w:t>
      </w:r>
    </w:p>
    <w:p>
      <w:pPr>
        <w:spacing w:line="360" w:lineRule="auto"/>
        <w:rPr>
          <w:rFonts w:ascii="宋体" w:hAnsi="宋体" w:cs="宋体"/>
          <w:szCs w:val="21"/>
        </w:rPr>
      </w:pPr>
      <w:r>
        <w:rPr>
          <w:rFonts w:hint="eastAsia" w:ascii="宋体" w:hAnsi="宋体" w:cs="宋体"/>
          <w:szCs w:val="21"/>
        </w:rPr>
        <w:t xml:space="preserve">2、为承担建设工程的前期设计、造价咨询、监理业务的单位； </w:t>
      </w:r>
    </w:p>
    <w:p>
      <w:pPr>
        <w:spacing w:line="360" w:lineRule="auto"/>
        <w:rPr>
          <w:rFonts w:ascii="宋体" w:hAnsi="宋体" w:cs="宋体"/>
          <w:szCs w:val="21"/>
        </w:rPr>
      </w:pPr>
      <w:r>
        <w:rPr>
          <w:rFonts w:hint="eastAsia" w:ascii="宋体" w:hAnsi="宋体" w:cs="宋体"/>
          <w:szCs w:val="21"/>
        </w:rPr>
        <w:t xml:space="preserve">3、为本标段的代建人或采购代理机构的； </w:t>
      </w:r>
    </w:p>
    <w:p>
      <w:pPr>
        <w:spacing w:line="360" w:lineRule="auto"/>
        <w:rPr>
          <w:rFonts w:ascii="宋体" w:hAnsi="宋体" w:cs="宋体"/>
          <w:szCs w:val="21"/>
        </w:rPr>
      </w:pPr>
      <w:r>
        <w:rPr>
          <w:rFonts w:hint="eastAsia" w:ascii="宋体" w:hAnsi="宋体" w:cs="宋体"/>
          <w:szCs w:val="21"/>
        </w:rPr>
        <w:t>4、与本标段的监理人或代建人或采购代理机构为同为一个法定代表人的；</w:t>
      </w:r>
    </w:p>
    <w:p>
      <w:pPr>
        <w:spacing w:line="360" w:lineRule="auto"/>
        <w:rPr>
          <w:rFonts w:ascii="宋体" w:hAnsi="宋体" w:cs="宋体"/>
          <w:szCs w:val="21"/>
        </w:rPr>
      </w:pPr>
      <w:r>
        <w:rPr>
          <w:rFonts w:hint="eastAsia" w:ascii="宋体" w:hAnsi="宋体" w:cs="宋体"/>
          <w:szCs w:val="21"/>
        </w:rPr>
        <w:t>5、与本标段的监理人或代建人或采购代理机构相互控股或参股的；</w:t>
      </w:r>
    </w:p>
    <w:p>
      <w:pPr>
        <w:spacing w:line="360" w:lineRule="auto"/>
        <w:rPr>
          <w:rFonts w:ascii="宋体" w:hAnsi="宋体" w:cs="宋体"/>
          <w:szCs w:val="21"/>
        </w:rPr>
      </w:pPr>
      <w:r>
        <w:rPr>
          <w:rFonts w:hint="eastAsia" w:ascii="宋体" w:hAnsi="宋体" w:cs="宋体"/>
          <w:szCs w:val="21"/>
        </w:rPr>
        <w:t>6、与本标段的监理人或代建人或采购代理机构相互任职或工作的；</w:t>
      </w:r>
    </w:p>
    <w:p>
      <w:pPr>
        <w:spacing w:line="360" w:lineRule="auto"/>
        <w:rPr>
          <w:rFonts w:ascii="宋体" w:hAnsi="宋体" w:cs="宋体"/>
          <w:szCs w:val="21"/>
        </w:rPr>
      </w:pPr>
      <w:r>
        <w:rPr>
          <w:rFonts w:hint="eastAsia" w:ascii="宋体" w:hAnsi="宋体" w:cs="宋体"/>
          <w:szCs w:val="21"/>
        </w:rPr>
        <w:t>7、单位负责人为同一人或者存在控股、管理关系的不同单位，同时参加本标段响应的；</w:t>
      </w:r>
    </w:p>
    <w:p>
      <w:pPr>
        <w:spacing w:line="360" w:lineRule="auto"/>
        <w:rPr>
          <w:rFonts w:ascii="宋体" w:hAnsi="宋体" w:cs="宋体"/>
          <w:szCs w:val="21"/>
        </w:rPr>
      </w:pPr>
      <w:r>
        <w:rPr>
          <w:rFonts w:hint="eastAsia" w:ascii="宋体" w:hAnsi="宋体" w:cs="宋体"/>
          <w:szCs w:val="21"/>
        </w:rPr>
        <w:t xml:space="preserve">8、被责令停业的； </w:t>
      </w:r>
    </w:p>
    <w:p>
      <w:pPr>
        <w:spacing w:line="360" w:lineRule="auto"/>
        <w:rPr>
          <w:rFonts w:ascii="宋体" w:hAnsi="宋体" w:cs="宋体"/>
          <w:szCs w:val="21"/>
        </w:rPr>
      </w:pPr>
      <w:r>
        <w:rPr>
          <w:rFonts w:hint="eastAsia" w:ascii="宋体" w:hAnsi="宋体" w:cs="宋体"/>
          <w:szCs w:val="21"/>
        </w:rPr>
        <w:t xml:space="preserve">9、被暂停或取消投标（磋商）资格的； </w:t>
      </w:r>
    </w:p>
    <w:p>
      <w:pPr>
        <w:spacing w:line="360" w:lineRule="auto"/>
        <w:rPr>
          <w:rFonts w:ascii="宋体" w:hAnsi="宋体" w:cs="宋体"/>
          <w:szCs w:val="21"/>
        </w:rPr>
      </w:pPr>
      <w:r>
        <w:rPr>
          <w:rFonts w:hint="eastAsia" w:ascii="宋体" w:hAnsi="宋体" w:cs="宋体"/>
          <w:szCs w:val="21"/>
        </w:rPr>
        <w:t>10、财产被接管或冻结的；</w:t>
      </w:r>
    </w:p>
    <w:p>
      <w:pPr>
        <w:spacing w:line="360" w:lineRule="auto"/>
        <w:rPr>
          <w:rFonts w:ascii="宋体" w:hAnsi="宋体" w:cs="宋体"/>
          <w:szCs w:val="21"/>
        </w:rPr>
      </w:pPr>
      <w:r>
        <w:rPr>
          <w:rFonts w:hint="eastAsia" w:ascii="宋体" w:hAnsi="宋体" w:cs="宋体"/>
          <w:szCs w:val="21"/>
        </w:rPr>
        <w:t>11、在最近三年内有骗取成交或重大工程质量问题的；</w:t>
      </w:r>
    </w:p>
    <w:p>
      <w:pPr>
        <w:spacing w:line="360" w:lineRule="auto"/>
        <w:rPr>
          <w:rFonts w:ascii="宋体" w:hAnsi="宋体" w:cs="宋体"/>
          <w:szCs w:val="21"/>
        </w:rPr>
      </w:pPr>
      <w:r>
        <w:rPr>
          <w:rFonts w:hint="eastAsia" w:ascii="宋体" w:hAnsi="宋体" w:cs="宋体"/>
          <w:szCs w:val="21"/>
        </w:rPr>
        <w:t>12、拖欠工人工资，情节严重被市建设行政管理部门向社会公布且在公布的期限内的；</w:t>
      </w:r>
    </w:p>
    <w:p>
      <w:pPr>
        <w:spacing w:line="360" w:lineRule="auto"/>
        <w:rPr>
          <w:rFonts w:ascii="宋体" w:hAnsi="宋体" w:cs="宋体"/>
          <w:szCs w:val="21"/>
        </w:rPr>
      </w:pPr>
      <w:r>
        <w:rPr>
          <w:rFonts w:hint="eastAsia" w:ascii="宋体" w:hAnsi="宋体" w:cs="宋体"/>
          <w:szCs w:val="21"/>
        </w:rPr>
        <w:t>13、供应商违反法律、法规、规章或者无正当理由放弃投标（磋商）、成交资格，采购人重新采购时，该供应商不得再参加该工程的响应。</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供应商名称(公章)：______________________</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法定代表人或授权代表(签字或盖章)：___________</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______年____月____日</w:t>
      </w:r>
    </w:p>
    <w:p>
      <w:pPr>
        <w:spacing w:line="360" w:lineRule="auto"/>
        <w:rPr>
          <w:rFonts w:ascii="宋体" w:hAnsi="宋体" w:cs="宋体"/>
          <w:sz w:val="32"/>
          <w:szCs w:val="32"/>
        </w:rPr>
      </w:pPr>
      <w:r>
        <w:rPr>
          <w:sz w:val="24"/>
        </w:rPr>
        <w:br w:type="page"/>
      </w:r>
      <w:r>
        <w:rPr>
          <w:rFonts w:hint="eastAsia" w:ascii="宋体" w:hAnsi="宋体" w:cs="宋体"/>
          <w:sz w:val="32"/>
          <w:szCs w:val="32"/>
        </w:rPr>
        <w:t xml:space="preserve"> 无重大违法记录的书面声明</w:t>
      </w:r>
    </w:p>
    <w:p>
      <w:pPr>
        <w:spacing w:line="360" w:lineRule="auto"/>
        <w:rPr>
          <w:rFonts w:ascii="宋体" w:hAnsi="宋体" w:cs="宋体"/>
          <w:sz w:val="24"/>
        </w:rPr>
      </w:pPr>
    </w:p>
    <w:p>
      <w:pPr>
        <w:spacing w:line="360" w:lineRule="auto"/>
        <w:ind w:firstLine="420" w:firstLineChars="200"/>
        <w:jc w:val="center"/>
        <w:rPr>
          <w:rFonts w:ascii="宋体" w:hAnsi="宋体" w:cs="宋体"/>
          <w:szCs w:val="21"/>
        </w:rPr>
      </w:pPr>
      <w:r>
        <w:rPr>
          <w:rFonts w:hint="eastAsia" w:ascii="宋体" w:hAnsi="宋体" w:cs="宋体"/>
          <w:szCs w:val="21"/>
        </w:rPr>
        <w:t>参加政府采购活动前三年内在经营活动中无重大违法记录的书面声明</w:t>
      </w:r>
    </w:p>
    <w:p>
      <w:pPr>
        <w:spacing w:line="360" w:lineRule="auto"/>
        <w:ind w:firstLine="420" w:firstLineChars="200"/>
        <w:jc w:val="center"/>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本单位郑重声明：</w:t>
      </w:r>
    </w:p>
    <w:p>
      <w:pPr>
        <w:spacing w:line="360" w:lineRule="auto"/>
        <w:ind w:firstLine="420" w:firstLineChars="200"/>
        <w:rPr>
          <w:rFonts w:ascii="宋体" w:hAnsi="宋体" w:cs="宋体"/>
          <w:szCs w:val="21"/>
        </w:rPr>
      </w:pPr>
      <w:r>
        <w:rPr>
          <w:rFonts w:hint="eastAsia" w:ascii="宋体" w:hAnsi="宋体" w:cs="宋体"/>
          <w:szCs w:val="21"/>
        </w:rPr>
        <w:t>我单位在参加采购活动前三年内在经营活动中没有《政府采购法》第二十二条第一款第(五)项所称重大违法记录，包括：我单位或者其法定代表人、董事、监事、高级管理人员未因经营活动中的违法行为受到刑事处罚或者责令停产停业、吊销许可证或者执照、较大数额罚款等行政处罚。</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特此声明！</w:t>
      </w:r>
    </w:p>
    <w:p>
      <w:pPr>
        <w:spacing w:line="360" w:lineRule="auto"/>
        <w:ind w:firstLine="420" w:firstLineChars="200"/>
        <w:rPr>
          <w:rFonts w:ascii="宋体" w:hAnsi="宋体" w:cs="宋体"/>
          <w:szCs w:val="21"/>
        </w:rPr>
      </w:pPr>
    </w:p>
    <w:p>
      <w:pPr>
        <w:spacing w:line="360" w:lineRule="auto"/>
        <w:ind w:firstLine="2100" w:firstLineChars="1000"/>
        <w:rPr>
          <w:rFonts w:ascii="宋体" w:hAnsi="宋体" w:cs="宋体"/>
          <w:szCs w:val="21"/>
        </w:rPr>
      </w:pPr>
    </w:p>
    <w:p>
      <w:pPr>
        <w:spacing w:line="360" w:lineRule="auto"/>
        <w:ind w:firstLine="2100" w:firstLineChars="1000"/>
        <w:rPr>
          <w:rFonts w:ascii="宋体" w:hAnsi="宋体" w:cs="宋体"/>
          <w:szCs w:val="21"/>
        </w:rPr>
      </w:pPr>
    </w:p>
    <w:p>
      <w:pPr>
        <w:spacing w:line="360" w:lineRule="auto"/>
        <w:ind w:firstLine="2100" w:firstLineChars="1000"/>
        <w:rPr>
          <w:rFonts w:ascii="宋体" w:hAnsi="宋体" w:cs="宋体"/>
          <w:szCs w:val="21"/>
        </w:rPr>
      </w:pPr>
      <w:r>
        <w:rPr>
          <w:rFonts w:hint="eastAsia" w:ascii="宋体" w:hAnsi="宋体" w:cs="宋体"/>
          <w:szCs w:val="21"/>
        </w:rPr>
        <w:t>供应商名称(公章)：____________</w:t>
      </w:r>
    </w:p>
    <w:p>
      <w:pPr>
        <w:spacing w:line="360" w:lineRule="auto"/>
        <w:ind w:firstLine="420" w:firstLineChars="200"/>
        <w:rPr>
          <w:rFonts w:ascii="宋体" w:hAnsi="宋体" w:cs="宋体"/>
          <w:szCs w:val="21"/>
        </w:rPr>
      </w:pPr>
    </w:p>
    <w:p>
      <w:pPr>
        <w:spacing w:line="360" w:lineRule="auto"/>
        <w:ind w:firstLine="2100" w:firstLineChars="1000"/>
        <w:rPr>
          <w:rFonts w:ascii="宋体" w:hAnsi="宋体" w:cs="宋体"/>
          <w:szCs w:val="21"/>
        </w:rPr>
      </w:pPr>
      <w:r>
        <w:rPr>
          <w:rFonts w:hint="eastAsia" w:ascii="宋体" w:hAnsi="宋体" w:cs="宋体"/>
          <w:szCs w:val="21"/>
        </w:rPr>
        <w:t>法定代表人或其授权代表(签字或盖章)：_________</w:t>
      </w:r>
    </w:p>
    <w:p>
      <w:pPr>
        <w:spacing w:line="360" w:lineRule="auto"/>
        <w:ind w:firstLine="420" w:firstLineChars="200"/>
        <w:rPr>
          <w:rFonts w:ascii="宋体" w:hAnsi="宋体" w:cs="宋体"/>
          <w:szCs w:val="21"/>
        </w:rPr>
      </w:pPr>
    </w:p>
    <w:p>
      <w:pPr>
        <w:spacing w:line="360" w:lineRule="auto"/>
        <w:ind w:firstLine="3150" w:firstLineChars="1500"/>
        <w:rPr>
          <w:rFonts w:ascii="宋体" w:hAnsi="宋体" w:cs="宋体"/>
          <w:szCs w:val="21"/>
        </w:rPr>
      </w:pPr>
      <w:r>
        <w:rPr>
          <w:rFonts w:hint="eastAsia" w:ascii="宋体" w:hAnsi="宋体" w:cs="宋体"/>
          <w:szCs w:val="21"/>
        </w:rPr>
        <w:t>日期：______年____月____日</w:t>
      </w:r>
    </w:p>
    <w:p>
      <w:pPr>
        <w:spacing w:line="360" w:lineRule="auto"/>
        <w:rPr>
          <w:rFonts w:ascii="宋体" w:hAnsi="宋体" w:cs="宋体"/>
          <w:sz w:val="24"/>
        </w:rPr>
      </w:pPr>
    </w:p>
    <w:p>
      <w:pPr>
        <w:ind w:right="480"/>
        <w:rPr>
          <w:rFonts w:ascii="宋体" w:hAnsi="宋体" w:cs="宋体"/>
          <w:szCs w:val="21"/>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pPr>
      <w:r>
        <w:rPr>
          <w:rFonts w:hint="eastAsia"/>
        </w:rPr>
        <w:t>最终报价承诺书</w:t>
      </w:r>
    </w:p>
    <w:p>
      <w:pPr>
        <w:spacing w:line="360" w:lineRule="auto"/>
        <w:jc w:val="center"/>
      </w:pPr>
      <w:r>
        <w:rPr>
          <w:rFonts w:hint="eastAsia"/>
        </w:rPr>
        <w:t>(第____次报价书)</w:t>
      </w:r>
    </w:p>
    <w:p>
      <w:pPr>
        <w:spacing w:line="360" w:lineRule="auto"/>
        <w:ind w:firstLine="420" w:firstLineChars="200"/>
      </w:pPr>
      <w:r>
        <w:rPr>
          <w:rFonts w:hint="eastAsia"/>
        </w:rPr>
        <w:t>项目名称：____________________</w:t>
      </w:r>
    </w:p>
    <w:p>
      <w:pPr>
        <w:spacing w:line="360" w:lineRule="auto"/>
        <w:ind w:firstLine="420" w:firstLineChars="200"/>
      </w:pPr>
      <w:r>
        <w:rPr>
          <w:rFonts w:hint="eastAsia"/>
        </w:rPr>
        <w:t>项目编号：____________________</w:t>
      </w:r>
    </w:p>
    <w:p>
      <w:pPr>
        <w:spacing w:line="360" w:lineRule="auto"/>
        <w:ind w:firstLine="420" w:firstLineChars="200"/>
      </w:pPr>
      <w:r>
        <w:rPr>
          <w:rFonts w:hint="eastAsia"/>
        </w:rPr>
        <w:t>项目包号：____________________</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22" w:type="dxa"/>
          </w:tcPr>
          <w:p>
            <w:pPr>
              <w:spacing w:line="360" w:lineRule="auto"/>
            </w:pPr>
            <w:r>
              <w:rPr>
                <w:rFonts w:hint="eastAsia"/>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522" w:type="dxa"/>
          </w:tcPr>
          <w:p>
            <w:pPr>
              <w:spacing w:line="360" w:lineRule="auto"/>
            </w:pPr>
            <w:r>
              <w:rPr>
                <w:rFonts w:hint="eastAsia"/>
              </w:rPr>
              <w:t>磋商范围：第____包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tcPr>
          <w:p>
            <w:pPr>
              <w:spacing w:line="360" w:lineRule="auto"/>
            </w:pPr>
            <w:r>
              <w:rPr>
                <w:rFonts w:hint="eastAsia"/>
              </w:rPr>
              <w:t>备注说明：</w:t>
            </w:r>
          </w:p>
        </w:tc>
      </w:tr>
    </w:tbl>
    <w:p>
      <w:pPr>
        <w:spacing w:line="360" w:lineRule="auto"/>
      </w:pPr>
      <w:r>
        <w:rPr>
          <w:rFonts w:hint="eastAsia"/>
        </w:rPr>
        <w:t>供应商公章或授权代表签字：</w:t>
      </w:r>
    </w:p>
    <w:p>
      <w:pPr>
        <w:spacing w:line="360" w:lineRule="auto"/>
        <w:ind w:firstLine="420" w:firstLineChars="200"/>
        <w:jc w:val="right"/>
        <w:rPr>
          <w:rFonts w:ascii="宋体" w:hAnsi="宋体"/>
        </w:rPr>
      </w:pPr>
      <w:r>
        <w:rPr>
          <w:rFonts w:hint="eastAsia"/>
        </w:rPr>
        <w:t>年</w:t>
      </w:r>
      <w:r>
        <w:rPr>
          <w:rFonts w:hint="eastAsia"/>
        </w:rPr>
        <w:tab/>
      </w:r>
      <w:r>
        <w:rPr>
          <w:rFonts w:hint="eastAsia"/>
        </w:rPr>
        <w:t>月</w:t>
      </w:r>
      <w:r>
        <w:rPr>
          <w:rFonts w:hint="eastAsia"/>
        </w:rPr>
        <w:tab/>
      </w:r>
      <w:r>
        <w:rPr>
          <w:rFonts w:hint="eastAsia"/>
        </w:rPr>
        <w:t>日</w:t>
      </w:r>
      <w:bookmarkStart w:id="549" w:name="_Toc364679606"/>
      <w:bookmarkStart w:id="550" w:name="_Toc14837"/>
      <w:bookmarkStart w:id="551" w:name="_Toc9112964"/>
    </w:p>
    <w:p>
      <w:pPr>
        <w:pStyle w:val="3"/>
        <w:rPr>
          <w:rFonts w:ascii="宋体" w:hAnsi="宋体"/>
        </w:rPr>
      </w:pPr>
    </w:p>
    <w:p>
      <w:pPr>
        <w:pStyle w:val="3"/>
        <w:rPr>
          <w:rFonts w:ascii="宋体" w:hAnsi="宋体"/>
        </w:rPr>
      </w:pPr>
    </w:p>
    <w:p>
      <w:pPr>
        <w:pStyle w:val="3"/>
        <w:rPr>
          <w:rFonts w:ascii="宋体" w:hAnsi="宋体"/>
        </w:rPr>
      </w:pPr>
    </w:p>
    <w:p>
      <w:pPr>
        <w:pStyle w:val="3"/>
        <w:rPr>
          <w:rFonts w:ascii="宋体" w:hAnsi="宋体"/>
        </w:rPr>
      </w:pPr>
    </w:p>
    <w:p>
      <w:pPr>
        <w:pStyle w:val="3"/>
        <w:rPr>
          <w:rFonts w:ascii="宋体" w:hAnsi="宋体"/>
        </w:rPr>
      </w:pPr>
    </w:p>
    <w:p>
      <w:pPr>
        <w:rPr>
          <w:rFonts w:ascii="宋体" w:hAnsi="宋体"/>
        </w:rPr>
      </w:pPr>
    </w:p>
    <w:p>
      <w:pPr>
        <w:pStyle w:val="9"/>
        <w:rPr>
          <w:rFonts w:ascii="宋体" w:hAnsi="宋体"/>
        </w:rPr>
      </w:pPr>
    </w:p>
    <w:p>
      <w:pPr>
        <w:jc w:val="center"/>
        <w:rPr>
          <w:rFonts w:eastAsia="黑体"/>
          <w:b/>
          <w:kern w:val="44"/>
          <w:sz w:val="30"/>
          <w:szCs w:val="20"/>
        </w:rPr>
      </w:pPr>
    </w:p>
    <w:p>
      <w:pPr>
        <w:pStyle w:val="3"/>
      </w:pPr>
      <w:bookmarkStart w:id="552" w:name="_Toc8535"/>
      <w:r>
        <w:rPr>
          <w:rFonts w:hint="eastAsia"/>
        </w:rPr>
        <w:t>第七章 图纸</w:t>
      </w:r>
      <w:bookmarkEnd w:id="552"/>
    </w:p>
    <w:p>
      <w:pPr>
        <w:pStyle w:val="9"/>
        <w:rPr>
          <w:rFonts w:ascii="宋体" w:hAnsi="宋体"/>
        </w:rPr>
      </w:pPr>
    </w:p>
    <w:p>
      <w:pPr>
        <w:spacing w:beforeLines="100" w:afterLines="100" w:line="360" w:lineRule="auto"/>
        <w:jc w:val="center"/>
        <w:rPr>
          <w:rFonts w:ascii="宋体" w:hAnsi="宋体"/>
          <w:b/>
          <w:sz w:val="44"/>
          <w:szCs w:val="44"/>
        </w:rPr>
      </w:pPr>
    </w:p>
    <w:p>
      <w:pPr>
        <w:spacing w:beforeLines="100" w:afterLines="100" w:line="360" w:lineRule="auto"/>
        <w:jc w:val="center"/>
        <w:rPr>
          <w:rFonts w:ascii="宋体" w:hAnsi="宋体"/>
          <w:b/>
          <w:sz w:val="44"/>
          <w:szCs w:val="44"/>
        </w:rPr>
      </w:pPr>
      <w:r>
        <w:rPr>
          <w:rFonts w:hint="eastAsia" w:ascii="宋体" w:hAnsi="宋体"/>
          <w:b/>
          <w:sz w:val="44"/>
          <w:szCs w:val="44"/>
        </w:rPr>
        <w:t>详见光盘</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jc w:val="both"/>
      </w:pPr>
    </w:p>
    <w:p>
      <w:pPr>
        <w:pStyle w:val="3"/>
      </w:pPr>
      <w:bookmarkStart w:id="553" w:name="_Toc29815"/>
      <w:r>
        <w:rPr>
          <w:rFonts w:hint="eastAsia"/>
        </w:rPr>
        <w:t>第八章 技术标准和要求</w:t>
      </w:r>
      <w:bookmarkEnd w:id="549"/>
      <w:bookmarkEnd w:id="550"/>
      <w:bookmarkEnd w:id="551"/>
      <w:bookmarkEnd w:id="553"/>
      <w:bookmarkStart w:id="554" w:name="_Toc12363535"/>
      <w:bookmarkStart w:id="555" w:name="_Toc24011"/>
      <w:bookmarkStart w:id="556" w:name="_Toc11088604"/>
      <w:bookmarkStart w:id="557" w:name="_Toc364679607"/>
      <w:bookmarkStart w:id="558" w:name="_Toc347825895"/>
      <w:bookmarkStart w:id="559" w:name="_Toc19913"/>
      <w:bookmarkStart w:id="560" w:name="_Toc7784049"/>
      <w:bookmarkStart w:id="561" w:name="_Toc8113845"/>
      <w:bookmarkStart w:id="562" w:name="_Toc11087710"/>
      <w:bookmarkStart w:id="563" w:name="_Toc30738"/>
    </w:p>
    <w:bookmarkEnd w:id="554"/>
    <w:bookmarkEnd w:id="555"/>
    <w:bookmarkEnd w:id="556"/>
    <w:bookmarkEnd w:id="557"/>
    <w:bookmarkEnd w:id="558"/>
    <w:bookmarkEnd w:id="559"/>
    <w:bookmarkEnd w:id="560"/>
    <w:bookmarkEnd w:id="561"/>
    <w:bookmarkEnd w:id="562"/>
    <w:bookmarkEnd w:id="563"/>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szCs w:val="21"/>
          <w:lang w:eastAsia="zh-CN"/>
        </w:rPr>
      </w:pPr>
      <w:r>
        <w:rPr>
          <w:rFonts w:hint="eastAsia" w:ascii="宋体" w:hAnsi="宋体" w:eastAsia="宋体" w:cs="宋体"/>
          <w:color w:val="000000"/>
          <w:szCs w:val="21"/>
        </w:rPr>
        <w:t>1、项目名称：</w:t>
      </w:r>
      <w:r>
        <w:rPr>
          <w:rFonts w:hint="eastAsia" w:ascii="宋体" w:hAnsi="宋体" w:cs="宋体"/>
          <w:color w:val="000000"/>
          <w:szCs w:val="21"/>
          <w:lang w:val="en-US" w:eastAsia="zh-CN"/>
        </w:rPr>
        <w:t>月浦镇段泾村土地整理复垦项目（沪宝耕立【2021】0007号）</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2、项目范围：</w:t>
      </w:r>
      <w:r>
        <w:rPr>
          <w:rFonts w:hint="eastAsia" w:ascii="宋体" w:hAnsi="宋体" w:eastAsia="宋体" w:cs="宋体"/>
          <w:szCs w:val="21"/>
        </w:rPr>
        <w:t>宝山区。</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3、采购内容：</w:t>
      </w:r>
      <w:r>
        <w:rPr>
          <w:rFonts w:hint="eastAsia" w:ascii="宋体" w:hAnsi="宋体" w:eastAsia="宋体" w:cs="宋体"/>
          <w:color w:val="000000"/>
          <w:szCs w:val="21"/>
          <w:lang w:eastAsia="zh-CN"/>
        </w:rPr>
        <w:t>建筑垃圾清运及种植土回填</w:t>
      </w:r>
      <w:r>
        <w:rPr>
          <w:rFonts w:hint="eastAsia" w:ascii="宋体" w:hAnsi="宋体" w:eastAsia="宋体" w:cs="宋体"/>
          <w:szCs w:val="21"/>
        </w:rPr>
        <w:t>。</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rPr>
      </w:pPr>
      <w:r>
        <w:rPr>
          <w:rFonts w:hint="eastAsia" w:ascii="宋体" w:hAnsi="宋体" w:eastAsia="宋体" w:cs="宋体"/>
          <w:b/>
          <w:bCs/>
        </w:rPr>
        <w:t>备注</w:t>
      </w:r>
      <w:r>
        <w:rPr>
          <w:rFonts w:hint="eastAsia" w:ascii="宋体" w:hAnsi="宋体" w:eastAsia="宋体" w:cs="宋体"/>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rPr>
      </w:pPr>
      <w:r>
        <w:rPr>
          <w:rFonts w:hint="eastAsia" w:ascii="宋体" w:hAnsi="宋体" w:eastAsia="宋体" w:cs="宋体"/>
        </w:rPr>
        <w:t>1、暂列金额内涉及分部分项须严格依照规定金额进行报价，不得擅自更改。</w:t>
      </w:r>
    </w:p>
    <w:p>
      <w:pPr>
        <w:keepNext w:val="0"/>
        <w:keepLines w:val="0"/>
        <w:pageBreakBefore w:val="0"/>
        <w:numPr>
          <w:ilvl w:val="0"/>
          <w:numId w:val="6"/>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rPr>
      </w:pPr>
      <w:r>
        <w:rPr>
          <w:rFonts w:hint="eastAsia" w:ascii="宋体" w:hAnsi="宋体" w:eastAsia="宋体" w:cs="宋体"/>
        </w:rPr>
        <w:t>关于社会保险费取费和缴交核付办法，按照沪建建管[2017]899号和其他相关规定执行。社会保险费由用人单位缴纳。各分包用人单位将本市统一的建筑工程实名制信息系统（登陆方式：市住建委官方网站-网上政务大厅建设管理-人员-作业人员实名制）中打印的施工现场作业人员清单和对应的社会保险费缴纳清单等凭证提交给施工总包单位，由其汇总后在项目竣工结算时向建设单位申请支付，并按实进入工程结算，结算费用不得超过按照磋商报价计算规则计算的相应社会保险费费用。</w:t>
      </w:r>
    </w:p>
    <w:p>
      <w:pPr>
        <w:pStyle w:val="9"/>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3、回填种植土必须达到种植标准，如不达标须无条件更换并处以相应赔偿。</w:t>
      </w:r>
    </w:p>
    <w:p>
      <w:pPr>
        <w:spacing w:line="360" w:lineRule="auto"/>
        <w:rPr>
          <w:rFonts w:ascii="宋体" w:hAnsi="宋体" w:cs="宋体"/>
          <w:sz w:val="18"/>
          <w:szCs w:val="18"/>
        </w:rPr>
      </w:pPr>
    </w:p>
    <w:sectPr>
      <w:pgSz w:w="11906" w:h="16838"/>
      <w:pgMar w:top="1134" w:right="1021" w:bottom="1134" w:left="1134" w:header="567" w:footer="1134" w:gutter="284"/>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26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w:instrText>
                </w:r>
                <w:r>
                  <w:fldChar w:fldCharType="separate"/>
                </w:r>
                <w:r>
                  <w:t>40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3"/>
                  <w:jc w:val="center"/>
                </w:pPr>
                <w:r>
                  <w:fldChar w:fldCharType="begin"/>
                </w:r>
                <w:r>
                  <w:instrText xml:space="preserve"> PAGE   \* MERGEFORMAT </w:instrText>
                </w:r>
                <w:r>
                  <w:fldChar w:fldCharType="separate"/>
                </w:r>
                <w:r>
                  <w:t>27</w:t>
                </w:r>
                <w:r>
                  <w:fldChar w:fldCharType="end"/>
                </w:r>
              </w:p>
            </w:txbxContent>
          </v:textbox>
        </v:shape>
      </w:pict>
    </w:r>
  </w:p>
  <w:p>
    <w:pPr>
      <w:pStyle w:val="1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0FB64A"/>
    <w:multiLevelType w:val="singleLevel"/>
    <w:tmpl w:val="BA0FB64A"/>
    <w:lvl w:ilvl="0" w:tentative="0">
      <w:start w:val="1"/>
      <w:numFmt w:val="decimal"/>
      <w:suff w:val="nothing"/>
      <w:lvlText w:val="%1、"/>
      <w:lvlJc w:val="left"/>
    </w:lvl>
  </w:abstractNum>
  <w:abstractNum w:abstractNumId="1">
    <w:nsid w:val="E8D1BDD5"/>
    <w:multiLevelType w:val="singleLevel"/>
    <w:tmpl w:val="E8D1BDD5"/>
    <w:lvl w:ilvl="0" w:tentative="0">
      <w:start w:val="2"/>
      <w:numFmt w:val="decimal"/>
      <w:suff w:val="nothing"/>
      <w:lvlText w:val="%1、"/>
      <w:lvlJc w:val="left"/>
    </w:lvl>
  </w:abstractNum>
  <w:abstractNum w:abstractNumId="2">
    <w:nsid w:val="FDBFCED7"/>
    <w:multiLevelType w:val="singleLevel"/>
    <w:tmpl w:val="FDBFCED7"/>
    <w:lvl w:ilvl="0" w:tentative="0">
      <w:start w:val="1"/>
      <w:numFmt w:val="chineseCounting"/>
      <w:suff w:val="nothing"/>
      <w:lvlText w:val="%1、"/>
      <w:lvlJc w:val="left"/>
      <w:rPr>
        <w:rFonts w:hint="eastAsia"/>
      </w:rPr>
    </w:lvl>
  </w:abstractNum>
  <w:abstractNum w:abstractNumId="3">
    <w:nsid w:val="40582B3D"/>
    <w:multiLevelType w:val="multilevel"/>
    <w:tmpl w:val="40582B3D"/>
    <w:lvl w:ilvl="0" w:tentative="0">
      <w:start w:val="3"/>
      <w:numFmt w:val="japaneseCounting"/>
      <w:lvlText w:val="第%1章"/>
      <w:lvlJc w:val="left"/>
      <w:pPr>
        <w:tabs>
          <w:tab w:val="left" w:pos="1080"/>
        </w:tabs>
        <w:ind w:left="1080" w:hanging="1080"/>
      </w:pPr>
      <w:rPr>
        <w:rFonts w:hint="default" w:cs="黑体"/>
        <w:b w:val="0"/>
      </w:rPr>
    </w:lvl>
    <w:lvl w:ilvl="1" w:tentative="0">
      <w:start w:val="1"/>
      <w:numFmt w:val="lowerLetter"/>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8537944"/>
    <w:multiLevelType w:val="singleLevel"/>
    <w:tmpl w:val="58537944"/>
    <w:lvl w:ilvl="0" w:tentative="0">
      <w:start w:val="1"/>
      <w:numFmt w:val="decimal"/>
      <w:suff w:val="nothing"/>
      <w:lvlText w:val="%1、"/>
      <w:lvlJc w:val="left"/>
    </w:lvl>
  </w:abstractNum>
  <w:abstractNum w:abstractNumId="5">
    <w:nsid w:val="5AF1550A"/>
    <w:multiLevelType w:val="singleLevel"/>
    <w:tmpl w:val="5AF1550A"/>
    <w:lvl w:ilvl="0" w:tentative="0">
      <w:start w:val="8"/>
      <w:numFmt w:val="chineseCounting"/>
      <w:suff w:val="nothing"/>
      <w:lvlText w:val="%1、"/>
      <w:lvlJc w:val="left"/>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hideSpellingErrors/>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19113A"/>
    <w:rsid w:val="00023648"/>
    <w:rsid w:val="000B0884"/>
    <w:rsid w:val="00141C8E"/>
    <w:rsid w:val="001C4DA8"/>
    <w:rsid w:val="00217BA6"/>
    <w:rsid w:val="002274AE"/>
    <w:rsid w:val="0026262B"/>
    <w:rsid w:val="002C72FA"/>
    <w:rsid w:val="002F57BD"/>
    <w:rsid w:val="00305AD5"/>
    <w:rsid w:val="003313C7"/>
    <w:rsid w:val="003720B4"/>
    <w:rsid w:val="004223A7"/>
    <w:rsid w:val="00422FC9"/>
    <w:rsid w:val="00575DFB"/>
    <w:rsid w:val="00580053"/>
    <w:rsid w:val="0064644F"/>
    <w:rsid w:val="00664846"/>
    <w:rsid w:val="0069120E"/>
    <w:rsid w:val="006E27BD"/>
    <w:rsid w:val="00786257"/>
    <w:rsid w:val="008039E4"/>
    <w:rsid w:val="00A77395"/>
    <w:rsid w:val="00AA29E1"/>
    <w:rsid w:val="00AD407C"/>
    <w:rsid w:val="00B44AF5"/>
    <w:rsid w:val="00BC3A20"/>
    <w:rsid w:val="00BD36FF"/>
    <w:rsid w:val="00C10D05"/>
    <w:rsid w:val="00C862F1"/>
    <w:rsid w:val="00CD6F7A"/>
    <w:rsid w:val="00CE2B1D"/>
    <w:rsid w:val="00D5779B"/>
    <w:rsid w:val="00D93494"/>
    <w:rsid w:val="00DB3F34"/>
    <w:rsid w:val="00DB6F40"/>
    <w:rsid w:val="00E16DC6"/>
    <w:rsid w:val="00E64FED"/>
    <w:rsid w:val="00EA0254"/>
    <w:rsid w:val="00F50473"/>
    <w:rsid w:val="01251255"/>
    <w:rsid w:val="04300831"/>
    <w:rsid w:val="04466041"/>
    <w:rsid w:val="04A671C1"/>
    <w:rsid w:val="0514318A"/>
    <w:rsid w:val="064978A4"/>
    <w:rsid w:val="078469C9"/>
    <w:rsid w:val="078B2A3B"/>
    <w:rsid w:val="085C0D5B"/>
    <w:rsid w:val="08A3582D"/>
    <w:rsid w:val="093E65FD"/>
    <w:rsid w:val="0A372E66"/>
    <w:rsid w:val="0B5B04B6"/>
    <w:rsid w:val="0C315E13"/>
    <w:rsid w:val="0E130BC1"/>
    <w:rsid w:val="0E371072"/>
    <w:rsid w:val="0E536918"/>
    <w:rsid w:val="0F532FD3"/>
    <w:rsid w:val="1017590B"/>
    <w:rsid w:val="10B27FD6"/>
    <w:rsid w:val="10ED1D9A"/>
    <w:rsid w:val="10F95844"/>
    <w:rsid w:val="11A10B05"/>
    <w:rsid w:val="11F71443"/>
    <w:rsid w:val="12417B87"/>
    <w:rsid w:val="128160A4"/>
    <w:rsid w:val="12C32CC0"/>
    <w:rsid w:val="13674D1D"/>
    <w:rsid w:val="138D5D05"/>
    <w:rsid w:val="13DF5B81"/>
    <w:rsid w:val="1552086B"/>
    <w:rsid w:val="15721C29"/>
    <w:rsid w:val="1633388E"/>
    <w:rsid w:val="17817866"/>
    <w:rsid w:val="18AE43B4"/>
    <w:rsid w:val="1A316BE3"/>
    <w:rsid w:val="1B15107B"/>
    <w:rsid w:val="1BA43D5C"/>
    <w:rsid w:val="1D1E724E"/>
    <w:rsid w:val="1D800DCD"/>
    <w:rsid w:val="1D8A3430"/>
    <w:rsid w:val="1E085423"/>
    <w:rsid w:val="2040143B"/>
    <w:rsid w:val="20513484"/>
    <w:rsid w:val="2087652E"/>
    <w:rsid w:val="20E2481B"/>
    <w:rsid w:val="210A260D"/>
    <w:rsid w:val="21184929"/>
    <w:rsid w:val="212D50D3"/>
    <w:rsid w:val="222653E1"/>
    <w:rsid w:val="227D6DB4"/>
    <w:rsid w:val="22927D04"/>
    <w:rsid w:val="229A039F"/>
    <w:rsid w:val="24580463"/>
    <w:rsid w:val="24B761F1"/>
    <w:rsid w:val="25DD7226"/>
    <w:rsid w:val="26BF7A8C"/>
    <w:rsid w:val="26F30D4E"/>
    <w:rsid w:val="27324957"/>
    <w:rsid w:val="287157CB"/>
    <w:rsid w:val="28897294"/>
    <w:rsid w:val="29B636BC"/>
    <w:rsid w:val="2A123D7B"/>
    <w:rsid w:val="2A142465"/>
    <w:rsid w:val="2A514B8A"/>
    <w:rsid w:val="2AC54958"/>
    <w:rsid w:val="2B9D5005"/>
    <w:rsid w:val="2C456338"/>
    <w:rsid w:val="2CF5682B"/>
    <w:rsid w:val="2D346512"/>
    <w:rsid w:val="2D8A7472"/>
    <w:rsid w:val="2DE107C1"/>
    <w:rsid w:val="306E423F"/>
    <w:rsid w:val="30BF6ED6"/>
    <w:rsid w:val="31A40471"/>
    <w:rsid w:val="31B4263D"/>
    <w:rsid w:val="33396E89"/>
    <w:rsid w:val="3362367F"/>
    <w:rsid w:val="33886727"/>
    <w:rsid w:val="33C86030"/>
    <w:rsid w:val="34F9120C"/>
    <w:rsid w:val="35A509CF"/>
    <w:rsid w:val="36E35D35"/>
    <w:rsid w:val="3746625D"/>
    <w:rsid w:val="380F479A"/>
    <w:rsid w:val="391E0090"/>
    <w:rsid w:val="392E3A33"/>
    <w:rsid w:val="3A8D41E1"/>
    <w:rsid w:val="3ACE5CC3"/>
    <w:rsid w:val="3E6A7DB4"/>
    <w:rsid w:val="3E6E234C"/>
    <w:rsid w:val="3F8F3DEC"/>
    <w:rsid w:val="3F9A3774"/>
    <w:rsid w:val="3FA531A1"/>
    <w:rsid w:val="40DA46D1"/>
    <w:rsid w:val="41606832"/>
    <w:rsid w:val="41F87E28"/>
    <w:rsid w:val="42426B9F"/>
    <w:rsid w:val="42A16265"/>
    <w:rsid w:val="42A7750E"/>
    <w:rsid w:val="43CB6BAD"/>
    <w:rsid w:val="46762E3E"/>
    <w:rsid w:val="46E01F30"/>
    <w:rsid w:val="483757B0"/>
    <w:rsid w:val="496D3705"/>
    <w:rsid w:val="49B80219"/>
    <w:rsid w:val="4A8069DD"/>
    <w:rsid w:val="4A891567"/>
    <w:rsid w:val="4B303CF7"/>
    <w:rsid w:val="4C4D72E0"/>
    <w:rsid w:val="4C4F1745"/>
    <w:rsid w:val="4C634471"/>
    <w:rsid w:val="4DBA7C04"/>
    <w:rsid w:val="4DFF44FB"/>
    <w:rsid w:val="4F62641B"/>
    <w:rsid w:val="50850B6C"/>
    <w:rsid w:val="50C272F0"/>
    <w:rsid w:val="518442F0"/>
    <w:rsid w:val="51DA4902"/>
    <w:rsid w:val="529C19FF"/>
    <w:rsid w:val="52B2321D"/>
    <w:rsid w:val="530C2789"/>
    <w:rsid w:val="53F338E3"/>
    <w:rsid w:val="54174772"/>
    <w:rsid w:val="55094D33"/>
    <w:rsid w:val="56FF770E"/>
    <w:rsid w:val="575D6C5A"/>
    <w:rsid w:val="5819113A"/>
    <w:rsid w:val="58756940"/>
    <w:rsid w:val="5945350D"/>
    <w:rsid w:val="59CF73DF"/>
    <w:rsid w:val="5F150A94"/>
    <w:rsid w:val="5FF842D9"/>
    <w:rsid w:val="600C23A9"/>
    <w:rsid w:val="60122734"/>
    <w:rsid w:val="60A04837"/>
    <w:rsid w:val="610C0FE4"/>
    <w:rsid w:val="611F4453"/>
    <w:rsid w:val="62500C23"/>
    <w:rsid w:val="62B65DEB"/>
    <w:rsid w:val="62D876CD"/>
    <w:rsid w:val="630B3259"/>
    <w:rsid w:val="63993881"/>
    <w:rsid w:val="65584538"/>
    <w:rsid w:val="6634269A"/>
    <w:rsid w:val="665C58B9"/>
    <w:rsid w:val="66D772B3"/>
    <w:rsid w:val="673F6BC3"/>
    <w:rsid w:val="67A81B2F"/>
    <w:rsid w:val="6A7419AA"/>
    <w:rsid w:val="6B184C7F"/>
    <w:rsid w:val="6B3260CA"/>
    <w:rsid w:val="6BB70089"/>
    <w:rsid w:val="6D535020"/>
    <w:rsid w:val="6E342CFE"/>
    <w:rsid w:val="6FFC5787"/>
    <w:rsid w:val="756A2B21"/>
    <w:rsid w:val="75BA5B08"/>
    <w:rsid w:val="7813309A"/>
    <w:rsid w:val="7826749C"/>
    <w:rsid w:val="78577723"/>
    <w:rsid w:val="795C1F62"/>
    <w:rsid w:val="796E0BD8"/>
    <w:rsid w:val="7A04197B"/>
    <w:rsid w:val="7A682FAE"/>
    <w:rsid w:val="7B1524B2"/>
    <w:rsid w:val="7C3644B1"/>
    <w:rsid w:val="7C59237F"/>
    <w:rsid w:val="7C6D6C4C"/>
    <w:rsid w:val="7C8772D4"/>
    <w:rsid w:val="7DE9401E"/>
    <w:rsid w:val="7E394791"/>
    <w:rsid w:val="7FAD4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jc w:val="center"/>
      <w:outlineLvl w:val="0"/>
    </w:pPr>
    <w:rPr>
      <w:rFonts w:eastAsia="黑体"/>
      <w:b/>
      <w:kern w:val="44"/>
      <w:sz w:val="30"/>
      <w:szCs w:val="20"/>
    </w:rPr>
  </w:style>
  <w:style w:type="paragraph" w:styleId="4">
    <w:name w:val="heading 2"/>
    <w:basedOn w:val="1"/>
    <w:next w:val="1"/>
    <w:qFormat/>
    <w:uiPriority w:val="0"/>
    <w:pPr>
      <w:keepNext/>
      <w:keepLines/>
      <w:spacing w:line="360" w:lineRule="auto"/>
      <w:outlineLvl w:val="1"/>
    </w:pPr>
    <w:rPr>
      <w:rFonts w:ascii="黑体" w:hAnsi="Arial" w:eastAsia="黑体"/>
      <w:sz w:val="28"/>
    </w:rPr>
  </w:style>
  <w:style w:type="paragraph" w:styleId="5">
    <w:name w:val="heading 3"/>
    <w:basedOn w:val="1"/>
    <w:next w:val="1"/>
    <w:qFormat/>
    <w:uiPriority w:val="0"/>
    <w:pPr>
      <w:keepNext/>
      <w:keepLines/>
      <w:outlineLvl w:val="2"/>
    </w:pPr>
    <w:rPr>
      <w:rFonts w:eastAsia="黑体"/>
      <w:b/>
      <w:bCs/>
      <w:sz w:val="26"/>
      <w:szCs w:val="32"/>
    </w:rPr>
  </w:style>
  <w:style w:type="paragraph" w:styleId="6">
    <w:name w:val="heading 4"/>
    <w:basedOn w:val="1"/>
    <w:next w:val="1"/>
    <w:qFormat/>
    <w:uiPriority w:val="9"/>
    <w:pPr>
      <w:keepNext/>
      <w:keepLines/>
      <w:spacing w:line="500" w:lineRule="exact"/>
      <w:ind w:left="1080"/>
      <w:outlineLvl w:val="3"/>
    </w:pPr>
    <w:rPr>
      <w:rFonts w:ascii="Cambria" w:hAnsi="Cambria"/>
      <w:sz w:val="28"/>
      <w:szCs w:val="20"/>
    </w:rPr>
  </w:style>
  <w:style w:type="paragraph" w:styleId="7">
    <w:name w:val="heading 9"/>
    <w:basedOn w:val="1"/>
    <w:next w:val="1"/>
    <w:semiHidden/>
    <w:unhideWhenUsed/>
    <w:qFormat/>
    <w:uiPriority w:val="0"/>
    <w:pPr>
      <w:keepNext/>
      <w:keepLines/>
      <w:spacing w:line="317" w:lineRule="auto"/>
      <w:outlineLvl w:val="8"/>
    </w:pPr>
    <w:rPr>
      <w:rFonts w:ascii="Arial" w:hAnsi="Arial" w:eastAsia="黑体"/>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99"/>
    <w:pPr>
      <w:adjustRightInd w:val="0"/>
      <w:jc w:val="left"/>
      <w:textAlignment w:val="baseline"/>
      <w:outlineLvl w:val="0"/>
    </w:pPr>
  </w:style>
  <w:style w:type="paragraph" w:styleId="8">
    <w:name w:val="annotation text"/>
    <w:basedOn w:val="1"/>
    <w:link w:val="38"/>
    <w:qFormat/>
    <w:uiPriority w:val="0"/>
    <w:pPr>
      <w:jc w:val="left"/>
    </w:pPr>
  </w:style>
  <w:style w:type="paragraph" w:styleId="9">
    <w:name w:val="Body Text"/>
    <w:basedOn w:val="1"/>
    <w:qFormat/>
    <w:uiPriority w:val="0"/>
  </w:style>
  <w:style w:type="paragraph" w:styleId="10">
    <w:name w:val="Body Text Indent"/>
    <w:basedOn w:val="1"/>
    <w:qFormat/>
    <w:uiPriority w:val="0"/>
    <w:pPr>
      <w:ind w:firstLine="567"/>
    </w:pPr>
    <w:rPr>
      <w:sz w:val="30"/>
    </w:rPr>
  </w:style>
  <w:style w:type="paragraph" w:styleId="11">
    <w:name w:val="Plain Text"/>
    <w:basedOn w:val="1"/>
    <w:qFormat/>
    <w:uiPriority w:val="0"/>
    <w:pPr>
      <w:spacing w:line="240" w:lineRule="auto"/>
    </w:pPr>
    <w:rPr>
      <w:rFonts w:ascii="宋体" w:hAnsi="Courier New" w:cs="宋体"/>
      <w:szCs w:val="21"/>
    </w:rPr>
  </w:style>
  <w:style w:type="paragraph" w:styleId="12">
    <w:name w:val="Balloon Text"/>
    <w:basedOn w:val="1"/>
    <w:link w:val="34"/>
    <w:qFormat/>
    <w:uiPriority w:val="0"/>
    <w:pPr>
      <w:spacing w:line="240" w:lineRule="auto"/>
    </w:pPr>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Subtitle"/>
    <w:basedOn w:val="1"/>
    <w:next w:val="1"/>
    <w:qFormat/>
    <w:uiPriority w:val="0"/>
    <w:pPr>
      <w:spacing w:line="240" w:lineRule="auto"/>
      <w:jc w:val="left"/>
      <w:outlineLvl w:val="1"/>
    </w:pPr>
    <w:rPr>
      <w:rFonts w:ascii="黑体" w:eastAsia="黑体"/>
      <w:bCs/>
      <w:kern w:val="28"/>
      <w:sz w:val="24"/>
      <w:szCs w:val="32"/>
    </w:rPr>
  </w:style>
  <w:style w:type="paragraph" w:styleId="17">
    <w:name w:val="Normal (Web)"/>
    <w:basedOn w:val="1"/>
    <w:qFormat/>
    <w:uiPriority w:val="99"/>
    <w:pPr>
      <w:widowControl/>
      <w:spacing w:beforeAutospacing="1" w:afterAutospacing="1"/>
      <w:jc w:val="left"/>
    </w:pPr>
    <w:rPr>
      <w:rFonts w:ascii="宋体" w:hAnsi="宋体" w:cs="宋体"/>
      <w:kern w:val="0"/>
      <w:sz w:val="24"/>
    </w:rPr>
  </w:style>
  <w:style w:type="paragraph" w:styleId="18">
    <w:name w:val="Title"/>
    <w:basedOn w:val="1"/>
    <w:next w:val="1"/>
    <w:qFormat/>
    <w:uiPriority w:val="10"/>
    <w:pPr>
      <w:spacing w:before="240" w:after="60"/>
      <w:jc w:val="center"/>
      <w:outlineLvl w:val="0"/>
    </w:pPr>
    <w:rPr>
      <w:rFonts w:ascii="Cambria" w:hAnsi="Cambria"/>
      <w:b/>
      <w:bCs/>
      <w:sz w:val="32"/>
      <w:szCs w:val="32"/>
    </w:rPr>
  </w:style>
  <w:style w:type="paragraph" w:styleId="19">
    <w:name w:val="annotation subject"/>
    <w:basedOn w:val="8"/>
    <w:next w:val="8"/>
    <w:link w:val="39"/>
    <w:qFormat/>
    <w:uiPriority w:val="0"/>
    <w:rPr>
      <w:b/>
      <w:bCs/>
    </w:rPr>
  </w:style>
  <w:style w:type="table" w:styleId="21">
    <w:name w:val="Table Grid"/>
    <w:basedOn w:val="20"/>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sz w:val="21"/>
    </w:rPr>
  </w:style>
  <w:style w:type="character" w:styleId="24">
    <w:name w:val="page number"/>
    <w:basedOn w:val="22"/>
    <w:qFormat/>
    <w:uiPriority w:val="0"/>
  </w:style>
  <w:style w:type="character" w:styleId="25">
    <w:name w:val="FollowedHyperlink"/>
    <w:basedOn w:val="22"/>
    <w:qFormat/>
    <w:uiPriority w:val="0"/>
    <w:rPr>
      <w:color w:val="337AB7"/>
      <w:u w:val="none"/>
    </w:rPr>
  </w:style>
  <w:style w:type="character" w:styleId="26">
    <w:name w:val="HTML Definition"/>
    <w:basedOn w:val="22"/>
    <w:qFormat/>
    <w:uiPriority w:val="0"/>
    <w:rPr>
      <w:i/>
    </w:rPr>
  </w:style>
  <w:style w:type="character" w:styleId="27">
    <w:name w:val="Hyperlink"/>
    <w:basedOn w:val="22"/>
    <w:qFormat/>
    <w:uiPriority w:val="0"/>
    <w:rPr>
      <w:color w:val="337AB7"/>
      <w:u w:val="none"/>
    </w:rPr>
  </w:style>
  <w:style w:type="character" w:styleId="28">
    <w:name w:val="HTML Code"/>
    <w:basedOn w:val="22"/>
    <w:qFormat/>
    <w:uiPriority w:val="0"/>
    <w:rPr>
      <w:rFonts w:ascii="Consolas" w:hAnsi="Consolas" w:eastAsia="Consolas" w:cs="Consolas"/>
      <w:color w:val="C7254E"/>
      <w:sz w:val="21"/>
      <w:szCs w:val="21"/>
      <w:shd w:val="clear" w:color="auto" w:fill="F9F2F4"/>
    </w:rPr>
  </w:style>
  <w:style w:type="character" w:styleId="29">
    <w:name w:val="annotation reference"/>
    <w:qFormat/>
    <w:uiPriority w:val="0"/>
    <w:rPr>
      <w:sz w:val="21"/>
      <w:szCs w:val="21"/>
    </w:rPr>
  </w:style>
  <w:style w:type="character" w:styleId="30">
    <w:name w:val="HTML Keyboard"/>
    <w:basedOn w:val="22"/>
    <w:qFormat/>
    <w:uiPriority w:val="0"/>
    <w:rPr>
      <w:rFonts w:hint="default" w:ascii="Consolas" w:hAnsi="Consolas" w:eastAsia="Consolas" w:cs="Consolas"/>
      <w:color w:val="FFFFFF"/>
      <w:sz w:val="21"/>
      <w:szCs w:val="21"/>
      <w:shd w:val="clear" w:color="auto" w:fill="333333"/>
    </w:rPr>
  </w:style>
  <w:style w:type="character" w:styleId="31">
    <w:name w:val="HTML Sample"/>
    <w:basedOn w:val="22"/>
    <w:qFormat/>
    <w:uiPriority w:val="0"/>
    <w:rPr>
      <w:rFonts w:hint="default" w:ascii="Consolas" w:hAnsi="Consolas" w:eastAsia="Consolas" w:cs="Consolas"/>
      <w:sz w:val="21"/>
      <w:szCs w:val="21"/>
    </w:rPr>
  </w:style>
  <w:style w:type="character" w:customStyle="1" w:styleId="32">
    <w:name w:val="apple-converted-space"/>
    <w:basedOn w:val="22"/>
    <w:qFormat/>
    <w:uiPriority w:val="0"/>
  </w:style>
  <w:style w:type="paragraph" w:customStyle="1" w:styleId="33">
    <w:name w:val="样式1"/>
    <w:basedOn w:val="1"/>
    <w:next w:val="6"/>
    <w:qFormat/>
    <w:uiPriority w:val="0"/>
    <w:pPr>
      <w:spacing w:line="360" w:lineRule="auto"/>
      <w:ind w:firstLine="420" w:firstLineChars="200"/>
    </w:pPr>
    <w:rPr>
      <w:rFonts w:ascii="宋体"/>
      <w:szCs w:val="20"/>
    </w:rPr>
  </w:style>
  <w:style w:type="character" w:customStyle="1" w:styleId="34">
    <w:name w:val="批注框文本 Char"/>
    <w:basedOn w:val="22"/>
    <w:link w:val="12"/>
    <w:qFormat/>
    <w:uiPriority w:val="0"/>
    <w:rPr>
      <w:kern w:val="2"/>
      <w:sz w:val="18"/>
      <w:szCs w:val="18"/>
    </w:rPr>
  </w:style>
  <w:style w:type="paragraph" w:customStyle="1" w:styleId="35">
    <w:name w:val="Body text|1"/>
    <w:basedOn w:val="1"/>
    <w:qFormat/>
    <w:uiPriority w:val="0"/>
    <w:pPr>
      <w:spacing w:after="360"/>
      <w:ind w:firstLine="360"/>
    </w:pPr>
    <w:rPr>
      <w:rFonts w:ascii="宋体" w:hAnsi="宋体" w:cs="宋体"/>
      <w:sz w:val="22"/>
      <w:szCs w:val="22"/>
      <w:lang w:val="zh-TW" w:eastAsia="zh-TW" w:bidi="zh-TW"/>
    </w:rPr>
  </w:style>
  <w:style w:type="paragraph" w:customStyle="1" w:styleId="36">
    <w:name w:val="Table Paragraph"/>
    <w:basedOn w:val="1"/>
    <w:qFormat/>
    <w:uiPriority w:val="1"/>
    <w:pPr>
      <w:autoSpaceDE w:val="0"/>
      <w:autoSpaceDN w:val="0"/>
      <w:spacing w:line="240" w:lineRule="auto"/>
      <w:jc w:val="left"/>
    </w:pPr>
    <w:rPr>
      <w:rFonts w:ascii="宋体" w:hAnsi="宋体" w:cs="宋体"/>
      <w:kern w:val="0"/>
      <w:sz w:val="22"/>
      <w:szCs w:val="22"/>
      <w:lang w:val="zh-CN" w:bidi="zh-CN"/>
    </w:rPr>
  </w:style>
  <w:style w:type="paragraph" w:styleId="37">
    <w:name w:val="List Paragraph"/>
    <w:basedOn w:val="1"/>
    <w:semiHidden/>
    <w:unhideWhenUsed/>
    <w:qFormat/>
    <w:uiPriority w:val="99"/>
    <w:pPr>
      <w:ind w:firstLine="420" w:firstLineChars="200"/>
    </w:pPr>
  </w:style>
  <w:style w:type="character" w:customStyle="1" w:styleId="38">
    <w:name w:val="批注文字 Char"/>
    <w:basedOn w:val="22"/>
    <w:link w:val="8"/>
    <w:qFormat/>
    <w:uiPriority w:val="0"/>
    <w:rPr>
      <w:kern w:val="2"/>
      <w:sz w:val="21"/>
      <w:szCs w:val="24"/>
    </w:rPr>
  </w:style>
  <w:style w:type="character" w:customStyle="1" w:styleId="39">
    <w:name w:val="批注主题 Char"/>
    <w:basedOn w:val="38"/>
    <w:link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2"/>
    <customShpInfo spid="_x0000_s2050"/>
    <customShpInfo spid="_x0000_s205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A1739A-5997-48DE-A90E-005DA4F0F012}">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104</Pages>
  <Words>11421</Words>
  <Characters>65102</Characters>
  <Lines>542</Lines>
  <Paragraphs>152</Paragraphs>
  <TotalTime>15</TotalTime>
  <ScaleCrop>false</ScaleCrop>
  <LinksUpToDate>false</LinksUpToDate>
  <CharactersWithSpaces>76371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2019-05-05T06:59:00Z</dcterms:created>
  <dc:creator>果枝</dc:creator>
  <cp:lastModifiedBy>世俗</cp:lastModifiedBy>
  <cp:lastPrinted>2021-07-07T07:52:00Z</cp:lastPrinted>
  <dcterms:modified xsi:type="dcterms:W3CDTF">2021-07-28T06:06:16Z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9F0F70F5657E4C6396D94D4ECAC3B803</vt:lpwstr>
  </property>
</Properties>
</file>