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仿宋_GB2312" w:hAnsi="仿宋" w:eastAsia="仿宋_GB2312" w:cs="仿宋"/>
          <w:b/>
          <w:sz w:val="32"/>
          <w:szCs w:val="32"/>
        </w:rPr>
      </w:pPr>
      <w:r>
        <w:rPr>
          <w:rFonts w:hint="eastAsia" w:ascii="仿宋_GB2312" w:hAnsi="仿宋" w:eastAsia="仿宋_GB2312" w:cs="仿宋"/>
          <w:b/>
          <w:sz w:val="32"/>
          <w:szCs w:val="32"/>
        </w:rPr>
        <w:t>附件1</w:t>
      </w:r>
    </w:p>
    <w:p>
      <w:pPr>
        <w:spacing w:line="500" w:lineRule="exact"/>
        <w:jc w:val="left"/>
        <w:rPr>
          <w:rFonts w:hint="eastAsia" w:ascii="仿宋_GB2312" w:hAnsi="仿宋" w:eastAsia="仿宋_GB2312" w:cs="仿宋"/>
          <w:b/>
          <w:sz w:val="32"/>
          <w:szCs w:val="32"/>
        </w:rPr>
      </w:pPr>
    </w:p>
    <w:p>
      <w:pPr>
        <w:spacing w:line="500" w:lineRule="exact"/>
        <w:ind w:firstLine="360" w:firstLineChars="100"/>
        <w:jc w:val="center"/>
        <w:rPr>
          <w:rFonts w:hint="eastAsia" w:eastAsia="华文中宋"/>
          <w:b/>
          <w:bCs/>
          <w:kern w:val="44"/>
          <w:sz w:val="36"/>
          <w:szCs w:val="36"/>
        </w:rPr>
      </w:pPr>
      <w:bookmarkStart w:id="0" w:name="_GoBack"/>
      <w:r>
        <w:rPr>
          <w:rFonts w:hint="eastAsia" w:eastAsia="华文中宋"/>
          <w:b/>
          <w:bCs/>
          <w:kern w:val="44"/>
          <w:sz w:val="36"/>
          <w:szCs w:val="36"/>
        </w:rPr>
        <w:t>宝山区现代服务业发展引导资金解释口径</w:t>
      </w:r>
      <w:bookmarkEnd w:id="0"/>
    </w:p>
    <w:p>
      <w:pPr>
        <w:spacing w:line="500" w:lineRule="exact"/>
        <w:ind w:firstLine="640" w:firstLineChars="200"/>
        <w:jc w:val="left"/>
        <w:rPr>
          <w:rFonts w:ascii="仿宋_GB2312" w:hAnsi="仿宋" w:eastAsia="仿宋_GB2312" w:cs="仿宋"/>
          <w:sz w:val="32"/>
          <w:szCs w:val="32"/>
        </w:rPr>
      </w:pPr>
    </w:p>
    <w:p>
      <w:pPr>
        <w:spacing w:line="5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1、中华老字号企业指按照《“中华老字号”认定规范（试行）》，经商务部认定的，获得“中华老字号”品牌称号的企业。</w:t>
      </w:r>
    </w:p>
    <w:p>
      <w:pPr>
        <w:spacing w:line="5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知名商业连锁企业是指业内知名，公众熟知的由连锁集团公司（或总部）直接经营其所属分店，同属于一个资本的统一经营的多个企业的连锁。实施人财物、产供销等统一管理,商业销售额在行业中领先的企业。</w:t>
      </w:r>
    </w:p>
    <w:p>
      <w:pPr>
        <w:spacing w:line="5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3、涉及民生指经市商务委认定或推荐的中心菜市场、现代化集市等业态。</w:t>
      </w:r>
    </w:p>
    <w:p>
      <w:pPr>
        <w:spacing w:line="5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国别商品中心是指各贸易国或地区的经贸促进机构或注册在本市的法人企业等设立及运营的，为进口自该国或地区的商品提供展示推广及相关服务的进口贸易综合服务平台。其主要功能包括提供展示交易、推广与培训、金融和物流服务、售后服务、知识产权保护等贸易全程服务。</w:t>
      </w:r>
    </w:p>
    <w:p>
      <w:pPr>
        <w:spacing w:line="5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5、国别商品直销中心是指注册在本市的法人企业设立及运营的，为进口自相关国和地区的商品提供直销、批发，线上线下销售结合、连锁经营等模式的销售平台。 </w:t>
      </w:r>
    </w:p>
    <w:p>
      <w:pPr>
        <w:spacing w:line="500" w:lineRule="exact"/>
        <w:ind w:firstLine="640" w:firstLineChars="200"/>
        <w:jc w:val="left"/>
        <w:rPr>
          <w:rFonts w:ascii="仿宋_GB2312" w:hAnsi="仿宋" w:eastAsia="仿宋_GB2312" w:cs="仿宋"/>
          <w:sz w:val="32"/>
          <w:szCs w:val="32"/>
        </w:rPr>
      </w:pPr>
    </w:p>
    <w:p>
      <w:pPr>
        <w:spacing w:line="500" w:lineRule="exact"/>
        <w:ind w:firstLine="320" w:firstLineChars="100"/>
        <w:jc w:val="left"/>
        <w:rPr>
          <w:rFonts w:ascii="仿宋_GB2312" w:hAnsi="仿宋" w:eastAsia="仿宋_GB2312" w:cs="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012346"/>
    <w:rsid w:val="1F012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2019-03-07T02:37:00Z</dcterms:created>
  <dc:creator>kolili</dc:creator>
  <cp:lastModifiedBy>kolili</cp:lastModifiedBy>
  <dcterms:modified xsi:type="dcterms:W3CDTF">2019-03-07T02:38:35Z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